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CD6" w:rsidRDefault="00834CD6">
      <w:pPr>
        <w:rPr>
          <w:lang w:val="en-GB"/>
        </w:rPr>
      </w:pPr>
    </w:p>
    <w:p w:rsidR="00834CD6" w:rsidRDefault="00834CD6">
      <w:pPr>
        <w:rPr>
          <w:lang w:val="en-GB"/>
        </w:rPr>
      </w:pPr>
    </w:p>
    <w:p w:rsidR="00B87923" w:rsidRDefault="00B87923">
      <w:pPr>
        <w:rPr>
          <w:lang w:val="en-GB"/>
        </w:rPr>
        <w:sectPr w:rsidR="00B87923" w:rsidSect="00A27D06">
          <w:footerReference w:type="even" r:id="rId8"/>
          <w:footerReference w:type="default" r:id="rId9"/>
          <w:pgSz w:w="16840" w:h="23820" w:code="8"/>
          <w:pgMar w:top="1440" w:right="1440" w:bottom="1440" w:left="1440" w:header="720" w:footer="720" w:gutter="0"/>
          <w:cols w:space="720"/>
          <w:titlePg/>
          <w:docGrid w:linePitch="360"/>
        </w:sectPr>
      </w:pPr>
    </w:p>
    <w:p w:rsidR="00834CD6" w:rsidRDefault="00403F70" w:rsidP="00403F70">
      <w:pPr>
        <w:jc w:val="center"/>
        <w:rPr>
          <w:lang w:val="en-GB"/>
        </w:rPr>
      </w:pPr>
      <w:r w:rsidRPr="00FF1EB2">
        <w:rPr>
          <w:b/>
          <w:noProof/>
          <w:color w:val="00B050"/>
          <w:sz w:val="48"/>
          <w:szCs w:val="48"/>
        </w:rPr>
        <w:lastRenderedPageBreak/>
        <w:drawing>
          <wp:inline distT="0" distB="0" distL="0" distR="0">
            <wp:extent cx="1530985" cy="1530985"/>
            <wp:effectExtent l="0" t="0" r="0" b="0"/>
            <wp:docPr id="20" name="Picture 20" descr="http://www.brandsoftheworld.com/sites/default/files/styles/logo-thumbnail/public/112012/uganda_court_of_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andsoftheworld.com/sites/default/files/styles/logo-thumbnail/public/112012/uganda_court_of_arm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985" cy="1530985"/>
                    </a:xfrm>
                    <a:prstGeom prst="rect">
                      <a:avLst/>
                    </a:prstGeom>
                    <a:noFill/>
                    <a:ln>
                      <a:noFill/>
                    </a:ln>
                  </pic:spPr>
                </pic:pic>
              </a:graphicData>
            </a:graphic>
          </wp:inline>
        </w:drawing>
      </w:r>
    </w:p>
    <w:p w:rsidR="00403F70" w:rsidRDefault="00403F70" w:rsidP="004C63AE">
      <w:pPr>
        <w:pStyle w:val="Title"/>
      </w:pPr>
    </w:p>
    <w:p w:rsidR="004C63AE" w:rsidRPr="004C63AE" w:rsidRDefault="004C63AE" w:rsidP="004C63AE"/>
    <w:p w:rsidR="004C63AE" w:rsidRPr="004C63AE" w:rsidRDefault="004C63AE" w:rsidP="004C63AE"/>
    <w:p w:rsidR="00D80D48" w:rsidRDefault="00267B82" w:rsidP="004C63AE">
      <w:pPr>
        <w:pStyle w:val="Title"/>
      </w:pPr>
      <w:r w:rsidRPr="004C63AE">
        <w:t xml:space="preserve">JINJA DISTRICT ANNUAL HEALTH SECTOR PERFORMANCE REPORT </w:t>
      </w:r>
    </w:p>
    <w:p w:rsidR="00D80D48" w:rsidRDefault="00D80D48" w:rsidP="004C63AE">
      <w:pPr>
        <w:pStyle w:val="Title"/>
      </w:pPr>
    </w:p>
    <w:p w:rsidR="002875E6" w:rsidRPr="004C63AE" w:rsidRDefault="00BB308D" w:rsidP="004C63AE">
      <w:pPr>
        <w:pStyle w:val="Title"/>
      </w:pPr>
      <w:r>
        <w:t>FY 2019/2020</w:t>
      </w:r>
    </w:p>
    <w:p w:rsidR="00FF13F7" w:rsidRDefault="00FF13F7">
      <w:pPr>
        <w:rPr>
          <w:lang w:val="en-GB"/>
        </w:rPr>
      </w:pPr>
    </w:p>
    <w:p w:rsidR="00326FAB" w:rsidRDefault="00326FAB">
      <w:pPr>
        <w:rPr>
          <w:lang w:val="en-GB"/>
        </w:rPr>
      </w:pPr>
    </w:p>
    <w:p w:rsidR="00326FAB" w:rsidRDefault="00326FAB">
      <w:pPr>
        <w:rPr>
          <w:lang w:val="en-GB"/>
        </w:rPr>
      </w:pPr>
    </w:p>
    <w:p w:rsidR="008F5C96" w:rsidRDefault="008F5C96" w:rsidP="008F5C96">
      <w:pPr>
        <w:pStyle w:val="Caption"/>
        <w:keepNext/>
      </w:pPr>
    </w:p>
    <w:p w:rsidR="00B87923" w:rsidRDefault="00B87923">
      <w:pPr>
        <w:rPr>
          <w:lang w:val="en-GB"/>
        </w:rPr>
        <w:sectPr w:rsidR="00B87923" w:rsidSect="00B87923">
          <w:type w:val="continuous"/>
          <w:pgSz w:w="16840" w:h="23820" w:code="8"/>
          <w:pgMar w:top="1440" w:right="1440" w:bottom="1440" w:left="1440" w:header="720" w:footer="720" w:gutter="0"/>
          <w:cols w:space="720"/>
          <w:docGrid w:linePitch="360"/>
        </w:sectPr>
      </w:pPr>
    </w:p>
    <w:p w:rsidR="00834CD6" w:rsidRDefault="00834CD6">
      <w:pPr>
        <w:rPr>
          <w:lang w:val="en-GB"/>
        </w:rPr>
      </w:pPr>
    </w:p>
    <w:p w:rsidR="00834CD6" w:rsidRDefault="00834CD6">
      <w:pPr>
        <w:rPr>
          <w:lang w:val="en-GB"/>
        </w:rPr>
      </w:pPr>
    </w:p>
    <w:sdt>
      <w:sdtPr>
        <w:rPr>
          <w:rFonts w:asciiTheme="minorHAnsi" w:eastAsiaTheme="minorHAnsi" w:hAnsiTheme="minorHAnsi" w:cstheme="minorBidi"/>
          <w:b w:val="0"/>
          <w:bCs w:val="0"/>
          <w:i/>
          <w:color w:val="auto"/>
          <w:sz w:val="24"/>
          <w:szCs w:val="22"/>
        </w:rPr>
        <w:id w:val="-851727552"/>
        <w:docPartObj>
          <w:docPartGallery w:val="Table of Contents"/>
          <w:docPartUnique/>
        </w:docPartObj>
      </w:sdtPr>
      <w:sdtEndPr>
        <w:rPr>
          <w:i w:val="0"/>
          <w:noProof/>
        </w:rPr>
      </w:sdtEndPr>
      <w:sdtContent>
        <w:p w:rsidR="00294ECC" w:rsidRPr="00403F70" w:rsidRDefault="00294ECC">
          <w:pPr>
            <w:pStyle w:val="TOCHeading"/>
            <w:rPr>
              <w:i/>
              <w:color w:val="385623" w:themeColor="accent6" w:themeShade="80"/>
            </w:rPr>
          </w:pPr>
          <w:r w:rsidRPr="00403F70">
            <w:rPr>
              <w:i/>
              <w:color w:val="385623" w:themeColor="accent6" w:themeShade="80"/>
            </w:rPr>
            <w:t>Contents</w:t>
          </w:r>
        </w:p>
        <w:p w:rsidR="00191FD3" w:rsidRDefault="00A05646">
          <w:pPr>
            <w:pStyle w:val="TOC1"/>
            <w:tabs>
              <w:tab w:val="left" w:pos="480"/>
              <w:tab w:val="right" w:leader="dot" w:pos="13950"/>
            </w:tabs>
            <w:rPr>
              <w:rFonts w:eastAsiaTheme="minorEastAsia"/>
              <w:b w:val="0"/>
              <w:noProof/>
              <w:sz w:val="22"/>
              <w:szCs w:val="22"/>
            </w:rPr>
          </w:pPr>
          <w:r w:rsidRPr="00267B82">
            <w:rPr>
              <w:b w:val="0"/>
              <w:color w:val="000000" w:themeColor="text1"/>
            </w:rPr>
            <w:fldChar w:fldCharType="begin"/>
          </w:r>
          <w:r w:rsidR="00294ECC" w:rsidRPr="00267B82">
            <w:rPr>
              <w:color w:val="000000" w:themeColor="text1"/>
            </w:rPr>
            <w:instrText xml:space="preserve"> TOC \o "1-3" \h \z \u </w:instrText>
          </w:r>
          <w:r w:rsidRPr="00267B82">
            <w:rPr>
              <w:b w:val="0"/>
              <w:color w:val="000000" w:themeColor="text1"/>
            </w:rPr>
            <w:fldChar w:fldCharType="separate"/>
          </w:r>
          <w:hyperlink w:anchor="_Toc53399897" w:history="1">
            <w:r w:rsidR="00191FD3" w:rsidRPr="005E6715">
              <w:rPr>
                <w:rStyle w:val="Hyperlink"/>
                <w:noProof/>
              </w:rPr>
              <w:t>1</w:t>
            </w:r>
            <w:r w:rsidR="00191FD3">
              <w:rPr>
                <w:rFonts w:eastAsiaTheme="minorEastAsia"/>
                <w:b w:val="0"/>
                <w:noProof/>
                <w:sz w:val="22"/>
                <w:szCs w:val="22"/>
              </w:rPr>
              <w:tab/>
            </w:r>
            <w:r w:rsidR="00191FD3" w:rsidRPr="005E6715">
              <w:rPr>
                <w:rStyle w:val="Hyperlink"/>
                <w:noProof/>
              </w:rPr>
              <w:t>Introduction</w:t>
            </w:r>
            <w:r w:rsidR="00191FD3">
              <w:rPr>
                <w:noProof/>
                <w:webHidden/>
              </w:rPr>
              <w:tab/>
            </w:r>
            <w:r w:rsidR="00191FD3">
              <w:rPr>
                <w:noProof/>
                <w:webHidden/>
              </w:rPr>
              <w:fldChar w:fldCharType="begin"/>
            </w:r>
            <w:r w:rsidR="00191FD3">
              <w:rPr>
                <w:noProof/>
                <w:webHidden/>
              </w:rPr>
              <w:instrText xml:space="preserve"> PAGEREF _Toc53399897 \h </w:instrText>
            </w:r>
            <w:r w:rsidR="00191FD3">
              <w:rPr>
                <w:noProof/>
                <w:webHidden/>
              </w:rPr>
            </w:r>
            <w:r w:rsidR="00191FD3">
              <w:rPr>
                <w:noProof/>
                <w:webHidden/>
              </w:rPr>
              <w:fldChar w:fldCharType="separate"/>
            </w:r>
            <w:r w:rsidR="00191FD3">
              <w:rPr>
                <w:noProof/>
                <w:webHidden/>
              </w:rPr>
              <w:t>2</w:t>
            </w:r>
            <w:r w:rsidR="00191FD3">
              <w:rPr>
                <w:noProof/>
                <w:webHidden/>
              </w:rPr>
              <w:fldChar w:fldCharType="end"/>
            </w:r>
          </w:hyperlink>
        </w:p>
        <w:p w:rsidR="00191FD3" w:rsidRDefault="00191FD3">
          <w:pPr>
            <w:pStyle w:val="TOC2"/>
            <w:tabs>
              <w:tab w:val="left" w:pos="960"/>
              <w:tab w:val="right" w:leader="dot" w:pos="13950"/>
            </w:tabs>
            <w:rPr>
              <w:rFonts w:eastAsiaTheme="minorEastAsia"/>
              <w:b w:val="0"/>
              <w:noProof/>
            </w:rPr>
          </w:pPr>
          <w:hyperlink w:anchor="_Toc53399898" w:history="1">
            <w:r w:rsidRPr="005E6715">
              <w:rPr>
                <w:rStyle w:val="Hyperlink"/>
                <w:noProof/>
                <w:lang w:val="en-GB"/>
              </w:rPr>
              <w:t>1.1</w:t>
            </w:r>
            <w:r>
              <w:rPr>
                <w:rFonts w:eastAsiaTheme="minorEastAsia"/>
                <w:b w:val="0"/>
                <w:noProof/>
              </w:rPr>
              <w:tab/>
            </w:r>
            <w:r w:rsidRPr="005E6715">
              <w:rPr>
                <w:rStyle w:val="Hyperlink"/>
                <w:noProof/>
                <w:lang w:val="en-GB"/>
              </w:rPr>
              <w:t>Demographic composition</w:t>
            </w:r>
            <w:r>
              <w:rPr>
                <w:noProof/>
                <w:webHidden/>
              </w:rPr>
              <w:tab/>
            </w:r>
            <w:r>
              <w:rPr>
                <w:noProof/>
                <w:webHidden/>
              </w:rPr>
              <w:fldChar w:fldCharType="begin"/>
            </w:r>
            <w:r>
              <w:rPr>
                <w:noProof/>
                <w:webHidden/>
              </w:rPr>
              <w:instrText xml:space="preserve"> PAGEREF _Toc53399898 \h </w:instrText>
            </w:r>
            <w:r>
              <w:rPr>
                <w:noProof/>
                <w:webHidden/>
              </w:rPr>
            </w:r>
            <w:r>
              <w:rPr>
                <w:noProof/>
                <w:webHidden/>
              </w:rPr>
              <w:fldChar w:fldCharType="separate"/>
            </w:r>
            <w:r>
              <w:rPr>
                <w:noProof/>
                <w:webHidden/>
              </w:rPr>
              <w:t>2</w:t>
            </w:r>
            <w:r>
              <w:rPr>
                <w:noProof/>
                <w:webHidden/>
              </w:rPr>
              <w:fldChar w:fldCharType="end"/>
            </w:r>
          </w:hyperlink>
        </w:p>
        <w:p w:rsidR="00191FD3" w:rsidRDefault="00191FD3">
          <w:pPr>
            <w:pStyle w:val="TOC2"/>
            <w:tabs>
              <w:tab w:val="left" w:pos="960"/>
              <w:tab w:val="right" w:leader="dot" w:pos="13950"/>
            </w:tabs>
            <w:rPr>
              <w:rFonts w:eastAsiaTheme="minorEastAsia"/>
              <w:b w:val="0"/>
              <w:noProof/>
            </w:rPr>
          </w:pPr>
          <w:hyperlink w:anchor="_Toc53399899" w:history="1">
            <w:r w:rsidRPr="005E6715">
              <w:rPr>
                <w:rStyle w:val="Hyperlink"/>
                <w:noProof/>
                <w:lang w:val="en-GB"/>
              </w:rPr>
              <w:t>1.2</w:t>
            </w:r>
            <w:r>
              <w:rPr>
                <w:rFonts w:eastAsiaTheme="minorEastAsia"/>
                <w:b w:val="0"/>
                <w:noProof/>
              </w:rPr>
              <w:tab/>
            </w:r>
            <w:r w:rsidRPr="005E6715">
              <w:rPr>
                <w:rStyle w:val="Hyperlink"/>
                <w:noProof/>
                <w:lang w:val="en-GB"/>
              </w:rPr>
              <w:t>Morbidity</w:t>
            </w:r>
            <w:r>
              <w:rPr>
                <w:noProof/>
                <w:webHidden/>
              </w:rPr>
              <w:tab/>
            </w:r>
            <w:r>
              <w:rPr>
                <w:noProof/>
                <w:webHidden/>
              </w:rPr>
              <w:fldChar w:fldCharType="begin"/>
            </w:r>
            <w:r>
              <w:rPr>
                <w:noProof/>
                <w:webHidden/>
              </w:rPr>
              <w:instrText xml:space="preserve"> PAGEREF _Toc53399899 \h </w:instrText>
            </w:r>
            <w:r>
              <w:rPr>
                <w:noProof/>
                <w:webHidden/>
              </w:rPr>
            </w:r>
            <w:r>
              <w:rPr>
                <w:noProof/>
                <w:webHidden/>
              </w:rPr>
              <w:fldChar w:fldCharType="separate"/>
            </w:r>
            <w:r>
              <w:rPr>
                <w:noProof/>
                <w:webHidden/>
              </w:rPr>
              <w:t>2</w:t>
            </w:r>
            <w:r>
              <w:rPr>
                <w:noProof/>
                <w:webHidden/>
              </w:rPr>
              <w:fldChar w:fldCharType="end"/>
            </w:r>
          </w:hyperlink>
        </w:p>
        <w:p w:rsidR="00191FD3" w:rsidRDefault="00191FD3">
          <w:pPr>
            <w:pStyle w:val="TOC2"/>
            <w:tabs>
              <w:tab w:val="left" w:pos="960"/>
              <w:tab w:val="right" w:leader="dot" w:pos="13950"/>
            </w:tabs>
            <w:rPr>
              <w:rFonts w:eastAsiaTheme="minorEastAsia"/>
              <w:b w:val="0"/>
              <w:noProof/>
            </w:rPr>
          </w:pPr>
          <w:hyperlink w:anchor="_Toc53399900" w:history="1">
            <w:r w:rsidRPr="005E6715">
              <w:rPr>
                <w:rStyle w:val="Hyperlink"/>
                <w:noProof/>
                <w:lang w:val="en-GB"/>
              </w:rPr>
              <w:t>1.3</w:t>
            </w:r>
            <w:r>
              <w:rPr>
                <w:rFonts w:eastAsiaTheme="minorEastAsia"/>
                <w:b w:val="0"/>
                <w:noProof/>
              </w:rPr>
              <w:tab/>
            </w:r>
            <w:r w:rsidRPr="005E6715">
              <w:rPr>
                <w:rStyle w:val="Hyperlink"/>
                <w:noProof/>
                <w:lang w:val="en-GB"/>
              </w:rPr>
              <w:t>Mortality</w:t>
            </w:r>
            <w:r>
              <w:rPr>
                <w:noProof/>
                <w:webHidden/>
              </w:rPr>
              <w:tab/>
            </w:r>
            <w:r>
              <w:rPr>
                <w:noProof/>
                <w:webHidden/>
              </w:rPr>
              <w:fldChar w:fldCharType="begin"/>
            </w:r>
            <w:r>
              <w:rPr>
                <w:noProof/>
                <w:webHidden/>
              </w:rPr>
              <w:instrText xml:space="preserve"> PAGEREF _Toc53399900 \h </w:instrText>
            </w:r>
            <w:r>
              <w:rPr>
                <w:noProof/>
                <w:webHidden/>
              </w:rPr>
            </w:r>
            <w:r>
              <w:rPr>
                <w:noProof/>
                <w:webHidden/>
              </w:rPr>
              <w:fldChar w:fldCharType="separate"/>
            </w:r>
            <w:r>
              <w:rPr>
                <w:noProof/>
                <w:webHidden/>
              </w:rPr>
              <w:t>2</w:t>
            </w:r>
            <w:r>
              <w:rPr>
                <w:noProof/>
                <w:webHidden/>
              </w:rPr>
              <w:fldChar w:fldCharType="end"/>
            </w:r>
          </w:hyperlink>
        </w:p>
        <w:p w:rsidR="00191FD3" w:rsidRDefault="00191FD3">
          <w:pPr>
            <w:pStyle w:val="TOC1"/>
            <w:tabs>
              <w:tab w:val="left" w:pos="480"/>
              <w:tab w:val="right" w:leader="dot" w:pos="13950"/>
            </w:tabs>
            <w:rPr>
              <w:rFonts w:eastAsiaTheme="minorEastAsia"/>
              <w:b w:val="0"/>
              <w:noProof/>
              <w:sz w:val="22"/>
              <w:szCs w:val="22"/>
            </w:rPr>
          </w:pPr>
          <w:hyperlink w:anchor="_Toc53399901" w:history="1">
            <w:r w:rsidRPr="005E6715">
              <w:rPr>
                <w:rStyle w:val="Hyperlink"/>
                <w:noProof/>
              </w:rPr>
              <w:t>2</w:t>
            </w:r>
            <w:r>
              <w:rPr>
                <w:rFonts w:eastAsiaTheme="minorEastAsia"/>
                <w:b w:val="0"/>
                <w:noProof/>
                <w:sz w:val="22"/>
                <w:szCs w:val="22"/>
              </w:rPr>
              <w:tab/>
            </w:r>
            <w:r w:rsidRPr="005E6715">
              <w:rPr>
                <w:rStyle w:val="Hyperlink"/>
                <w:noProof/>
              </w:rPr>
              <w:t>Progress on Key performance indicators</w:t>
            </w:r>
            <w:r>
              <w:rPr>
                <w:noProof/>
                <w:webHidden/>
              </w:rPr>
              <w:tab/>
            </w:r>
            <w:r>
              <w:rPr>
                <w:noProof/>
                <w:webHidden/>
              </w:rPr>
              <w:fldChar w:fldCharType="begin"/>
            </w:r>
            <w:r>
              <w:rPr>
                <w:noProof/>
                <w:webHidden/>
              </w:rPr>
              <w:instrText xml:space="preserve"> PAGEREF _Toc53399901 \h </w:instrText>
            </w:r>
            <w:r>
              <w:rPr>
                <w:noProof/>
                <w:webHidden/>
              </w:rPr>
            </w:r>
            <w:r>
              <w:rPr>
                <w:noProof/>
                <w:webHidden/>
              </w:rPr>
              <w:fldChar w:fldCharType="separate"/>
            </w:r>
            <w:r>
              <w:rPr>
                <w:noProof/>
                <w:webHidden/>
              </w:rPr>
              <w:t>2</w:t>
            </w:r>
            <w:r>
              <w:rPr>
                <w:noProof/>
                <w:webHidden/>
              </w:rPr>
              <w:fldChar w:fldCharType="end"/>
            </w:r>
          </w:hyperlink>
        </w:p>
        <w:p w:rsidR="00191FD3" w:rsidRDefault="00191FD3">
          <w:pPr>
            <w:pStyle w:val="TOC2"/>
            <w:tabs>
              <w:tab w:val="left" w:pos="960"/>
              <w:tab w:val="right" w:leader="dot" w:pos="13950"/>
            </w:tabs>
            <w:rPr>
              <w:rFonts w:eastAsiaTheme="minorEastAsia"/>
              <w:b w:val="0"/>
              <w:noProof/>
            </w:rPr>
          </w:pPr>
          <w:hyperlink w:anchor="_Toc53399902" w:history="1">
            <w:r w:rsidRPr="005E6715">
              <w:rPr>
                <w:rStyle w:val="Hyperlink"/>
                <w:noProof/>
                <w:lang w:val="en-GB"/>
              </w:rPr>
              <w:t>2.1</w:t>
            </w:r>
            <w:r>
              <w:rPr>
                <w:rFonts w:eastAsiaTheme="minorEastAsia"/>
                <w:b w:val="0"/>
                <w:noProof/>
              </w:rPr>
              <w:tab/>
            </w:r>
            <w:r w:rsidRPr="005E6715">
              <w:rPr>
                <w:rStyle w:val="Hyperlink"/>
                <w:noProof/>
                <w:lang w:val="en-GB"/>
              </w:rPr>
              <w:t>Maternal and child health</w:t>
            </w:r>
            <w:r>
              <w:rPr>
                <w:noProof/>
                <w:webHidden/>
              </w:rPr>
              <w:tab/>
            </w:r>
            <w:r>
              <w:rPr>
                <w:noProof/>
                <w:webHidden/>
              </w:rPr>
              <w:fldChar w:fldCharType="begin"/>
            </w:r>
            <w:r>
              <w:rPr>
                <w:noProof/>
                <w:webHidden/>
              </w:rPr>
              <w:instrText xml:space="preserve"> PAGEREF _Toc53399902 \h </w:instrText>
            </w:r>
            <w:r>
              <w:rPr>
                <w:noProof/>
                <w:webHidden/>
              </w:rPr>
            </w:r>
            <w:r>
              <w:rPr>
                <w:noProof/>
                <w:webHidden/>
              </w:rPr>
              <w:fldChar w:fldCharType="separate"/>
            </w:r>
            <w:r>
              <w:rPr>
                <w:noProof/>
                <w:webHidden/>
              </w:rPr>
              <w:t>2</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03" w:history="1">
            <w:r w:rsidRPr="005E6715">
              <w:rPr>
                <w:rStyle w:val="Hyperlink"/>
                <w:noProof/>
                <w:lang w:val="en-GB"/>
              </w:rPr>
              <w:t>2.1.1</w:t>
            </w:r>
            <w:r>
              <w:rPr>
                <w:rFonts w:eastAsiaTheme="minorEastAsia"/>
                <w:noProof/>
              </w:rPr>
              <w:tab/>
            </w:r>
            <w:r w:rsidRPr="005E6715">
              <w:rPr>
                <w:rStyle w:val="Hyperlink"/>
                <w:noProof/>
                <w:lang w:val="en-GB"/>
              </w:rPr>
              <w:t>ANC attendance</w:t>
            </w:r>
            <w:r>
              <w:rPr>
                <w:noProof/>
                <w:webHidden/>
              </w:rPr>
              <w:tab/>
            </w:r>
            <w:r>
              <w:rPr>
                <w:noProof/>
                <w:webHidden/>
              </w:rPr>
              <w:fldChar w:fldCharType="begin"/>
            </w:r>
            <w:r>
              <w:rPr>
                <w:noProof/>
                <w:webHidden/>
              </w:rPr>
              <w:instrText xml:space="preserve"> PAGEREF _Toc53399903 \h </w:instrText>
            </w:r>
            <w:r>
              <w:rPr>
                <w:noProof/>
                <w:webHidden/>
              </w:rPr>
            </w:r>
            <w:r>
              <w:rPr>
                <w:noProof/>
                <w:webHidden/>
              </w:rPr>
              <w:fldChar w:fldCharType="separate"/>
            </w:r>
            <w:r>
              <w:rPr>
                <w:noProof/>
                <w:webHidden/>
              </w:rPr>
              <w:t>2</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04" w:history="1">
            <w:r w:rsidRPr="005E6715">
              <w:rPr>
                <w:rStyle w:val="Hyperlink"/>
                <w:noProof/>
                <w:lang w:val="en-GB"/>
              </w:rPr>
              <w:t>2.1.2</w:t>
            </w:r>
            <w:r>
              <w:rPr>
                <w:rFonts w:eastAsiaTheme="minorEastAsia"/>
                <w:noProof/>
              </w:rPr>
              <w:tab/>
            </w:r>
            <w:r w:rsidRPr="005E6715">
              <w:rPr>
                <w:rStyle w:val="Hyperlink"/>
                <w:noProof/>
                <w:lang w:val="en-GB"/>
              </w:rPr>
              <w:t>ART initiation among HIV+ pregnant women</w:t>
            </w:r>
            <w:r>
              <w:rPr>
                <w:noProof/>
                <w:webHidden/>
              </w:rPr>
              <w:tab/>
            </w:r>
            <w:r>
              <w:rPr>
                <w:noProof/>
                <w:webHidden/>
              </w:rPr>
              <w:fldChar w:fldCharType="begin"/>
            </w:r>
            <w:r>
              <w:rPr>
                <w:noProof/>
                <w:webHidden/>
              </w:rPr>
              <w:instrText xml:space="preserve"> PAGEREF _Toc53399904 \h </w:instrText>
            </w:r>
            <w:r>
              <w:rPr>
                <w:noProof/>
                <w:webHidden/>
              </w:rPr>
            </w:r>
            <w:r>
              <w:rPr>
                <w:noProof/>
                <w:webHidden/>
              </w:rPr>
              <w:fldChar w:fldCharType="separate"/>
            </w:r>
            <w:r>
              <w:rPr>
                <w:noProof/>
                <w:webHidden/>
              </w:rPr>
              <w:t>2</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05" w:history="1">
            <w:r w:rsidRPr="005E6715">
              <w:rPr>
                <w:rStyle w:val="Hyperlink"/>
                <w:noProof/>
                <w:lang w:val="en-GB"/>
              </w:rPr>
              <w:t>2.1.3</w:t>
            </w:r>
            <w:r>
              <w:rPr>
                <w:rFonts w:eastAsiaTheme="minorEastAsia"/>
                <w:noProof/>
              </w:rPr>
              <w:tab/>
            </w:r>
            <w:r w:rsidRPr="005E6715">
              <w:rPr>
                <w:rStyle w:val="Hyperlink"/>
                <w:noProof/>
                <w:lang w:val="en-GB"/>
              </w:rPr>
              <w:t>Supervised deliveries</w:t>
            </w:r>
            <w:r>
              <w:rPr>
                <w:noProof/>
                <w:webHidden/>
              </w:rPr>
              <w:tab/>
            </w:r>
            <w:r>
              <w:rPr>
                <w:noProof/>
                <w:webHidden/>
              </w:rPr>
              <w:fldChar w:fldCharType="begin"/>
            </w:r>
            <w:r>
              <w:rPr>
                <w:noProof/>
                <w:webHidden/>
              </w:rPr>
              <w:instrText xml:space="preserve"> PAGEREF _Toc53399905 \h </w:instrText>
            </w:r>
            <w:r>
              <w:rPr>
                <w:noProof/>
                <w:webHidden/>
              </w:rPr>
            </w:r>
            <w:r>
              <w:rPr>
                <w:noProof/>
                <w:webHidden/>
              </w:rPr>
              <w:fldChar w:fldCharType="separate"/>
            </w:r>
            <w:r>
              <w:rPr>
                <w:noProof/>
                <w:webHidden/>
              </w:rPr>
              <w:t>2</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06" w:history="1">
            <w:r w:rsidRPr="005E6715">
              <w:rPr>
                <w:rStyle w:val="Hyperlink"/>
                <w:noProof/>
                <w:lang w:val="en-GB"/>
              </w:rPr>
              <w:t>2.1.4</w:t>
            </w:r>
            <w:r>
              <w:rPr>
                <w:rFonts w:eastAsiaTheme="minorEastAsia"/>
                <w:noProof/>
              </w:rPr>
              <w:tab/>
            </w:r>
            <w:r w:rsidRPr="005E6715">
              <w:rPr>
                <w:rStyle w:val="Hyperlink"/>
                <w:noProof/>
                <w:lang w:val="en-GB"/>
              </w:rPr>
              <w:t>Post natal attendances</w:t>
            </w:r>
            <w:r>
              <w:rPr>
                <w:noProof/>
                <w:webHidden/>
              </w:rPr>
              <w:tab/>
            </w:r>
            <w:r>
              <w:rPr>
                <w:noProof/>
                <w:webHidden/>
              </w:rPr>
              <w:fldChar w:fldCharType="begin"/>
            </w:r>
            <w:r>
              <w:rPr>
                <w:noProof/>
                <w:webHidden/>
              </w:rPr>
              <w:instrText xml:space="preserve"> PAGEREF _Toc53399906 \h </w:instrText>
            </w:r>
            <w:r>
              <w:rPr>
                <w:noProof/>
                <w:webHidden/>
              </w:rPr>
            </w:r>
            <w:r>
              <w:rPr>
                <w:noProof/>
                <w:webHidden/>
              </w:rPr>
              <w:fldChar w:fldCharType="separate"/>
            </w:r>
            <w:r>
              <w:rPr>
                <w:noProof/>
                <w:webHidden/>
              </w:rPr>
              <w:t>3</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07" w:history="1">
            <w:r w:rsidRPr="005E6715">
              <w:rPr>
                <w:rStyle w:val="Hyperlink"/>
                <w:noProof/>
                <w:lang w:val="en-GB"/>
              </w:rPr>
              <w:t>2.1.5</w:t>
            </w:r>
            <w:r>
              <w:rPr>
                <w:rFonts w:eastAsiaTheme="minorEastAsia"/>
                <w:noProof/>
              </w:rPr>
              <w:tab/>
            </w:r>
            <w:r w:rsidRPr="005E6715">
              <w:rPr>
                <w:rStyle w:val="Hyperlink"/>
                <w:noProof/>
                <w:lang w:val="en-GB"/>
              </w:rPr>
              <w:t>ART initiation rates at ANC,MAT and PNC</w:t>
            </w:r>
            <w:r>
              <w:rPr>
                <w:noProof/>
                <w:webHidden/>
              </w:rPr>
              <w:tab/>
            </w:r>
            <w:r>
              <w:rPr>
                <w:noProof/>
                <w:webHidden/>
              </w:rPr>
              <w:fldChar w:fldCharType="begin"/>
            </w:r>
            <w:r>
              <w:rPr>
                <w:noProof/>
                <w:webHidden/>
              </w:rPr>
              <w:instrText xml:space="preserve"> PAGEREF _Toc53399907 \h </w:instrText>
            </w:r>
            <w:r>
              <w:rPr>
                <w:noProof/>
                <w:webHidden/>
              </w:rPr>
            </w:r>
            <w:r>
              <w:rPr>
                <w:noProof/>
                <w:webHidden/>
              </w:rPr>
              <w:fldChar w:fldCharType="separate"/>
            </w:r>
            <w:r>
              <w:rPr>
                <w:noProof/>
                <w:webHidden/>
              </w:rPr>
              <w:t>3</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08" w:history="1">
            <w:r w:rsidRPr="005E6715">
              <w:rPr>
                <w:rStyle w:val="Hyperlink"/>
                <w:noProof/>
                <w:lang w:val="en-GB"/>
              </w:rPr>
              <w:t>2.1.6</w:t>
            </w:r>
            <w:r>
              <w:rPr>
                <w:rFonts w:eastAsiaTheme="minorEastAsia"/>
                <w:noProof/>
              </w:rPr>
              <w:tab/>
            </w:r>
            <w:r w:rsidRPr="005E6715">
              <w:rPr>
                <w:rStyle w:val="Hyperlink"/>
                <w:noProof/>
                <w:lang w:val="en-GB"/>
              </w:rPr>
              <w:t>Early infant diagnosis of HIV</w:t>
            </w:r>
            <w:r>
              <w:rPr>
                <w:noProof/>
                <w:webHidden/>
              </w:rPr>
              <w:tab/>
            </w:r>
            <w:r>
              <w:rPr>
                <w:noProof/>
                <w:webHidden/>
              </w:rPr>
              <w:fldChar w:fldCharType="begin"/>
            </w:r>
            <w:r>
              <w:rPr>
                <w:noProof/>
                <w:webHidden/>
              </w:rPr>
              <w:instrText xml:space="preserve"> PAGEREF _Toc53399908 \h </w:instrText>
            </w:r>
            <w:r>
              <w:rPr>
                <w:noProof/>
                <w:webHidden/>
              </w:rPr>
            </w:r>
            <w:r>
              <w:rPr>
                <w:noProof/>
                <w:webHidden/>
              </w:rPr>
              <w:fldChar w:fldCharType="separate"/>
            </w:r>
            <w:r>
              <w:rPr>
                <w:noProof/>
                <w:webHidden/>
              </w:rPr>
              <w:t>3</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09" w:history="1">
            <w:r w:rsidRPr="005E6715">
              <w:rPr>
                <w:rStyle w:val="Hyperlink"/>
                <w:noProof/>
              </w:rPr>
              <w:t>2.1.7</w:t>
            </w:r>
            <w:r>
              <w:rPr>
                <w:rFonts w:eastAsiaTheme="minorEastAsia"/>
                <w:noProof/>
              </w:rPr>
              <w:tab/>
            </w:r>
            <w:r w:rsidRPr="005E6715">
              <w:rPr>
                <w:rStyle w:val="Hyperlink"/>
                <w:noProof/>
                <w:lang w:val="en-GB"/>
              </w:rPr>
              <w:t>Immunisation</w:t>
            </w:r>
            <w:r>
              <w:rPr>
                <w:noProof/>
                <w:webHidden/>
              </w:rPr>
              <w:tab/>
            </w:r>
            <w:r>
              <w:rPr>
                <w:noProof/>
                <w:webHidden/>
              </w:rPr>
              <w:fldChar w:fldCharType="begin"/>
            </w:r>
            <w:r>
              <w:rPr>
                <w:noProof/>
                <w:webHidden/>
              </w:rPr>
              <w:instrText xml:space="preserve"> PAGEREF _Toc53399909 \h </w:instrText>
            </w:r>
            <w:r>
              <w:rPr>
                <w:noProof/>
                <w:webHidden/>
              </w:rPr>
            </w:r>
            <w:r>
              <w:rPr>
                <w:noProof/>
                <w:webHidden/>
              </w:rPr>
              <w:fldChar w:fldCharType="separate"/>
            </w:r>
            <w:r>
              <w:rPr>
                <w:noProof/>
                <w:webHidden/>
              </w:rPr>
              <w:t>3</w:t>
            </w:r>
            <w:r>
              <w:rPr>
                <w:noProof/>
                <w:webHidden/>
              </w:rPr>
              <w:fldChar w:fldCharType="end"/>
            </w:r>
          </w:hyperlink>
        </w:p>
        <w:p w:rsidR="00191FD3" w:rsidRDefault="00191FD3">
          <w:pPr>
            <w:pStyle w:val="TOC2"/>
            <w:tabs>
              <w:tab w:val="left" w:pos="960"/>
              <w:tab w:val="right" w:leader="dot" w:pos="13950"/>
            </w:tabs>
            <w:rPr>
              <w:rFonts w:eastAsiaTheme="minorEastAsia"/>
              <w:b w:val="0"/>
              <w:noProof/>
            </w:rPr>
          </w:pPr>
          <w:hyperlink w:anchor="_Toc53399910" w:history="1">
            <w:r w:rsidRPr="005E6715">
              <w:rPr>
                <w:rStyle w:val="Hyperlink"/>
                <w:noProof/>
                <w:lang w:val="en-GB"/>
              </w:rPr>
              <w:t>2.2</w:t>
            </w:r>
            <w:r>
              <w:rPr>
                <w:rFonts w:eastAsiaTheme="minorEastAsia"/>
                <w:b w:val="0"/>
                <w:noProof/>
              </w:rPr>
              <w:tab/>
            </w:r>
            <w:r w:rsidRPr="005E6715">
              <w:rPr>
                <w:rStyle w:val="Hyperlink"/>
                <w:noProof/>
                <w:lang w:val="en-GB"/>
              </w:rPr>
              <w:t>Malaria</w:t>
            </w:r>
            <w:r>
              <w:rPr>
                <w:noProof/>
                <w:webHidden/>
              </w:rPr>
              <w:tab/>
            </w:r>
            <w:r>
              <w:rPr>
                <w:noProof/>
                <w:webHidden/>
              </w:rPr>
              <w:fldChar w:fldCharType="begin"/>
            </w:r>
            <w:r>
              <w:rPr>
                <w:noProof/>
                <w:webHidden/>
              </w:rPr>
              <w:instrText xml:space="preserve"> PAGEREF _Toc53399910 \h </w:instrText>
            </w:r>
            <w:r>
              <w:rPr>
                <w:noProof/>
                <w:webHidden/>
              </w:rPr>
            </w:r>
            <w:r>
              <w:rPr>
                <w:noProof/>
                <w:webHidden/>
              </w:rPr>
              <w:fldChar w:fldCharType="separate"/>
            </w:r>
            <w:r>
              <w:rPr>
                <w:noProof/>
                <w:webHidden/>
              </w:rPr>
              <w:t>3</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11" w:history="1">
            <w:r w:rsidRPr="005E6715">
              <w:rPr>
                <w:rStyle w:val="Hyperlink"/>
                <w:noProof/>
                <w:lang w:val="en-GB"/>
              </w:rPr>
              <w:t>2.2.1</w:t>
            </w:r>
            <w:r>
              <w:rPr>
                <w:rFonts w:eastAsiaTheme="minorEastAsia"/>
                <w:noProof/>
              </w:rPr>
              <w:tab/>
            </w:r>
            <w:r w:rsidRPr="005E6715">
              <w:rPr>
                <w:rStyle w:val="Hyperlink"/>
                <w:noProof/>
                <w:lang w:val="en-GB"/>
              </w:rPr>
              <w:t>Malaria testing and treatment</w:t>
            </w:r>
            <w:r>
              <w:rPr>
                <w:noProof/>
                <w:webHidden/>
              </w:rPr>
              <w:tab/>
            </w:r>
            <w:r>
              <w:rPr>
                <w:noProof/>
                <w:webHidden/>
              </w:rPr>
              <w:fldChar w:fldCharType="begin"/>
            </w:r>
            <w:r>
              <w:rPr>
                <w:noProof/>
                <w:webHidden/>
              </w:rPr>
              <w:instrText xml:space="preserve"> PAGEREF _Toc53399911 \h </w:instrText>
            </w:r>
            <w:r>
              <w:rPr>
                <w:noProof/>
                <w:webHidden/>
              </w:rPr>
            </w:r>
            <w:r>
              <w:rPr>
                <w:noProof/>
                <w:webHidden/>
              </w:rPr>
              <w:fldChar w:fldCharType="separate"/>
            </w:r>
            <w:r>
              <w:rPr>
                <w:noProof/>
                <w:webHidden/>
              </w:rPr>
              <w:t>3</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12" w:history="1">
            <w:r w:rsidRPr="005E6715">
              <w:rPr>
                <w:rStyle w:val="Hyperlink"/>
                <w:noProof/>
                <w:lang w:val="en-GB"/>
              </w:rPr>
              <w:t>2.2.2</w:t>
            </w:r>
            <w:r>
              <w:rPr>
                <w:rFonts w:eastAsiaTheme="minorEastAsia"/>
                <w:noProof/>
              </w:rPr>
              <w:tab/>
            </w:r>
            <w:r w:rsidRPr="005E6715">
              <w:rPr>
                <w:rStyle w:val="Hyperlink"/>
                <w:noProof/>
                <w:lang w:val="en-GB"/>
              </w:rPr>
              <w:t>Malaria channel</w:t>
            </w:r>
            <w:r>
              <w:rPr>
                <w:noProof/>
                <w:webHidden/>
              </w:rPr>
              <w:tab/>
            </w:r>
            <w:r>
              <w:rPr>
                <w:noProof/>
                <w:webHidden/>
              </w:rPr>
              <w:fldChar w:fldCharType="begin"/>
            </w:r>
            <w:r>
              <w:rPr>
                <w:noProof/>
                <w:webHidden/>
              </w:rPr>
              <w:instrText xml:space="preserve"> PAGEREF _Toc53399912 \h </w:instrText>
            </w:r>
            <w:r>
              <w:rPr>
                <w:noProof/>
                <w:webHidden/>
              </w:rPr>
            </w:r>
            <w:r>
              <w:rPr>
                <w:noProof/>
                <w:webHidden/>
              </w:rPr>
              <w:fldChar w:fldCharType="separate"/>
            </w:r>
            <w:r>
              <w:rPr>
                <w:noProof/>
                <w:webHidden/>
              </w:rPr>
              <w:t>4</w:t>
            </w:r>
            <w:r>
              <w:rPr>
                <w:noProof/>
                <w:webHidden/>
              </w:rPr>
              <w:fldChar w:fldCharType="end"/>
            </w:r>
          </w:hyperlink>
        </w:p>
        <w:p w:rsidR="00191FD3" w:rsidRDefault="00191FD3">
          <w:pPr>
            <w:pStyle w:val="TOC2"/>
            <w:tabs>
              <w:tab w:val="left" w:pos="960"/>
              <w:tab w:val="right" w:leader="dot" w:pos="13950"/>
            </w:tabs>
            <w:rPr>
              <w:rFonts w:eastAsiaTheme="minorEastAsia"/>
              <w:b w:val="0"/>
              <w:noProof/>
            </w:rPr>
          </w:pPr>
          <w:hyperlink w:anchor="_Toc53399913" w:history="1">
            <w:r w:rsidRPr="005E6715">
              <w:rPr>
                <w:rStyle w:val="Hyperlink"/>
                <w:noProof/>
                <w:lang w:val="en-GB"/>
              </w:rPr>
              <w:t>2.3</w:t>
            </w:r>
            <w:r>
              <w:rPr>
                <w:rFonts w:eastAsiaTheme="minorEastAsia"/>
                <w:b w:val="0"/>
                <w:noProof/>
              </w:rPr>
              <w:tab/>
            </w:r>
            <w:r w:rsidRPr="005E6715">
              <w:rPr>
                <w:rStyle w:val="Hyperlink"/>
                <w:noProof/>
                <w:lang w:val="en-GB"/>
              </w:rPr>
              <w:t>Tuberculosis</w:t>
            </w:r>
            <w:r>
              <w:rPr>
                <w:noProof/>
                <w:webHidden/>
              </w:rPr>
              <w:tab/>
            </w:r>
            <w:r>
              <w:rPr>
                <w:noProof/>
                <w:webHidden/>
              </w:rPr>
              <w:fldChar w:fldCharType="begin"/>
            </w:r>
            <w:r>
              <w:rPr>
                <w:noProof/>
                <w:webHidden/>
              </w:rPr>
              <w:instrText xml:space="preserve"> PAGEREF _Toc53399913 \h </w:instrText>
            </w:r>
            <w:r>
              <w:rPr>
                <w:noProof/>
                <w:webHidden/>
              </w:rPr>
            </w:r>
            <w:r>
              <w:rPr>
                <w:noProof/>
                <w:webHidden/>
              </w:rPr>
              <w:fldChar w:fldCharType="separate"/>
            </w:r>
            <w:r>
              <w:rPr>
                <w:noProof/>
                <w:webHidden/>
              </w:rPr>
              <w:t>4</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14" w:history="1">
            <w:r w:rsidRPr="005E6715">
              <w:rPr>
                <w:rStyle w:val="Hyperlink"/>
                <w:noProof/>
                <w:lang w:val="en-GB"/>
              </w:rPr>
              <w:t>2.3.1</w:t>
            </w:r>
            <w:r>
              <w:rPr>
                <w:rFonts w:eastAsiaTheme="minorEastAsia"/>
                <w:noProof/>
              </w:rPr>
              <w:tab/>
            </w:r>
            <w:r w:rsidRPr="005E6715">
              <w:rPr>
                <w:rStyle w:val="Hyperlink"/>
                <w:noProof/>
                <w:lang w:val="en-GB"/>
              </w:rPr>
              <w:t>Case notification rates</w:t>
            </w:r>
            <w:r>
              <w:rPr>
                <w:noProof/>
                <w:webHidden/>
              </w:rPr>
              <w:tab/>
            </w:r>
            <w:r>
              <w:rPr>
                <w:noProof/>
                <w:webHidden/>
              </w:rPr>
              <w:fldChar w:fldCharType="begin"/>
            </w:r>
            <w:r>
              <w:rPr>
                <w:noProof/>
                <w:webHidden/>
              </w:rPr>
              <w:instrText xml:space="preserve"> PAGEREF _Toc53399914 \h </w:instrText>
            </w:r>
            <w:r>
              <w:rPr>
                <w:noProof/>
                <w:webHidden/>
              </w:rPr>
            </w:r>
            <w:r>
              <w:rPr>
                <w:noProof/>
                <w:webHidden/>
              </w:rPr>
              <w:fldChar w:fldCharType="separate"/>
            </w:r>
            <w:r>
              <w:rPr>
                <w:noProof/>
                <w:webHidden/>
              </w:rPr>
              <w:t>4</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15" w:history="1">
            <w:r w:rsidRPr="005E6715">
              <w:rPr>
                <w:rStyle w:val="Hyperlink"/>
                <w:noProof/>
                <w:lang w:val="en-GB"/>
              </w:rPr>
              <w:t>2.3.2</w:t>
            </w:r>
            <w:r>
              <w:rPr>
                <w:rFonts w:eastAsiaTheme="minorEastAsia"/>
                <w:noProof/>
              </w:rPr>
              <w:tab/>
            </w:r>
            <w:r w:rsidRPr="005E6715">
              <w:rPr>
                <w:rStyle w:val="Hyperlink"/>
                <w:noProof/>
                <w:lang w:val="en-GB"/>
              </w:rPr>
              <w:t>Treatment outcomes</w:t>
            </w:r>
            <w:r>
              <w:rPr>
                <w:noProof/>
                <w:webHidden/>
              </w:rPr>
              <w:tab/>
            </w:r>
            <w:r>
              <w:rPr>
                <w:noProof/>
                <w:webHidden/>
              </w:rPr>
              <w:fldChar w:fldCharType="begin"/>
            </w:r>
            <w:r>
              <w:rPr>
                <w:noProof/>
                <w:webHidden/>
              </w:rPr>
              <w:instrText xml:space="preserve"> PAGEREF _Toc53399915 \h </w:instrText>
            </w:r>
            <w:r>
              <w:rPr>
                <w:noProof/>
                <w:webHidden/>
              </w:rPr>
            </w:r>
            <w:r>
              <w:rPr>
                <w:noProof/>
                <w:webHidden/>
              </w:rPr>
              <w:fldChar w:fldCharType="separate"/>
            </w:r>
            <w:r>
              <w:rPr>
                <w:noProof/>
                <w:webHidden/>
              </w:rPr>
              <w:t>4</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16" w:history="1">
            <w:r w:rsidRPr="005E6715">
              <w:rPr>
                <w:rStyle w:val="Hyperlink"/>
                <w:noProof/>
              </w:rPr>
              <w:t>2.3.3</w:t>
            </w:r>
            <w:r>
              <w:rPr>
                <w:rFonts w:eastAsiaTheme="minorEastAsia"/>
                <w:noProof/>
              </w:rPr>
              <w:tab/>
            </w:r>
            <w:r w:rsidRPr="005E6715">
              <w:rPr>
                <w:rStyle w:val="Hyperlink"/>
                <w:noProof/>
              </w:rPr>
              <w:t>Treatment Success rate by HF</w:t>
            </w:r>
            <w:r>
              <w:rPr>
                <w:noProof/>
                <w:webHidden/>
              </w:rPr>
              <w:tab/>
            </w:r>
            <w:r>
              <w:rPr>
                <w:noProof/>
                <w:webHidden/>
              </w:rPr>
              <w:fldChar w:fldCharType="begin"/>
            </w:r>
            <w:r>
              <w:rPr>
                <w:noProof/>
                <w:webHidden/>
              </w:rPr>
              <w:instrText xml:space="preserve"> PAGEREF _Toc53399916 \h </w:instrText>
            </w:r>
            <w:r>
              <w:rPr>
                <w:noProof/>
                <w:webHidden/>
              </w:rPr>
            </w:r>
            <w:r>
              <w:rPr>
                <w:noProof/>
                <w:webHidden/>
              </w:rPr>
              <w:fldChar w:fldCharType="separate"/>
            </w:r>
            <w:r>
              <w:rPr>
                <w:noProof/>
                <w:webHidden/>
              </w:rPr>
              <w:t>4</w:t>
            </w:r>
            <w:r>
              <w:rPr>
                <w:noProof/>
                <w:webHidden/>
              </w:rPr>
              <w:fldChar w:fldCharType="end"/>
            </w:r>
          </w:hyperlink>
        </w:p>
        <w:p w:rsidR="00191FD3" w:rsidRDefault="00191FD3">
          <w:pPr>
            <w:pStyle w:val="TOC2"/>
            <w:tabs>
              <w:tab w:val="left" w:pos="960"/>
              <w:tab w:val="right" w:leader="dot" w:pos="13950"/>
            </w:tabs>
            <w:rPr>
              <w:rFonts w:eastAsiaTheme="minorEastAsia"/>
              <w:b w:val="0"/>
              <w:noProof/>
            </w:rPr>
          </w:pPr>
          <w:hyperlink w:anchor="_Toc53399917" w:history="1">
            <w:r w:rsidRPr="005E6715">
              <w:rPr>
                <w:rStyle w:val="Hyperlink"/>
                <w:noProof/>
                <w:lang w:val="en-GB"/>
              </w:rPr>
              <w:t>2.4</w:t>
            </w:r>
            <w:r>
              <w:rPr>
                <w:rFonts w:eastAsiaTheme="minorEastAsia"/>
                <w:b w:val="0"/>
                <w:noProof/>
              </w:rPr>
              <w:tab/>
            </w:r>
            <w:r w:rsidRPr="005E6715">
              <w:rPr>
                <w:rStyle w:val="Hyperlink"/>
                <w:noProof/>
                <w:lang w:val="en-GB"/>
              </w:rPr>
              <w:t>HIV/AIDS</w:t>
            </w:r>
            <w:r>
              <w:rPr>
                <w:noProof/>
                <w:webHidden/>
              </w:rPr>
              <w:tab/>
            </w:r>
            <w:r>
              <w:rPr>
                <w:noProof/>
                <w:webHidden/>
              </w:rPr>
              <w:fldChar w:fldCharType="begin"/>
            </w:r>
            <w:r>
              <w:rPr>
                <w:noProof/>
                <w:webHidden/>
              </w:rPr>
              <w:instrText xml:space="preserve"> PAGEREF _Toc53399917 \h </w:instrText>
            </w:r>
            <w:r>
              <w:rPr>
                <w:noProof/>
                <w:webHidden/>
              </w:rPr>
            </w:r>
            <w:r>
              <w:rPr>
                <w:noProof/>
                <w:webHidden/>
              </w:rPr>
              <w:fldChar w:fldCharType="separate"/>
            </w:r>
            <w:r>
              <w:rPr>
                <w:noProof/>
                <w:webHidden/>
              </w:rPr>
              <w:t>4</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18" w:history="1">
            <w:r w:rsidRPr="005E6715">
              <w:rPr>
                <w:rStyle w:val="Hyperlink"/>
                <w:noProof/>
                <w:lang w:val="en-GB"/>
              </w:rPr>
              <w:t>2.4.1</w:t>
            </w:r>
            <w:r>
              <w:rPr>
                <w:rFonts w:eastAsiaTheme="minorEastAsia"/>
                <w:noProof/>
              </w:rPr>
              <w:tab/>
            </w:r>
            <w:r w:rsidRPr="005E6715">
              <w:rPr>
                <w:rStyle w:val="Hyperlink"/>
                <w:noProof/>
                <w:lang w:val="en-GB"/>
              </w:rPr>
              <w:t>ART initiation rates by S/C</w:t>
            </w:r>
            <w:r>
              <w:rPr>
                <w:noProof/>
                <w:webHidden/>
              </w:rPr>
              <w:tab/>
            </w:r>
            <w:r>
              <w:rPr>
                <w:noProof/>
                <w:webHidden/>
              </w:rPr>
              <w:fldChar w:fldCharType="begin"/>
            </w:r>
            <w:r>
              <w:rPr>
                <w:noProof/>
                <w:webHidden/>
              </w:rPr>
              <w:instrText xml:space="preserve"> PAGEREF _Toc53399918 \h </w:instrText>
            </w:r>
            <w:r>
              <w:rPr>
                <w:noProof/>
                <w:webHidden/>
              </w:rPr>
            </w:r>
            <w:r>
              <w:rPr>
                <w:noProof/>
                <w:webHidden/>
              </w:rPr>
              <w:fldChar w:fldCharType="separate"/>
            </w:r>
            <w:r>
              <w:rPr>
                <w:noProof/>
                <w:webHidden/>
              </w:rPr>
              <w:t>4</w:t>
            </w:r>
            <w:r>
              <w:rPr>
                <w:noProof/>
                <w:webHidden/>
              </w:rPr>
              <w:fldChar w:fldCharType="end"/>
            </w:r>
          </w:hyperlink>
        </w:p>
        <w:p w:rsidR="00191FD3" w:rsidRDefault="00191FD3">
          <w:pPr>
            <w:pStyle w:val="TOC3"/>
            <w:tabs>
              <w:tab w:val="left" w:pos="1200"/>
              <w:tab w:val="right" w:leader="dot" w:pos="13950"/>
            </w:tabs>
            <w:rPr>
              <w:rFonts w:eastAsiaTheme="minorEastAsia"/>
              <w:noProof/>
            </w:rPr>
          </w:pPr>
          <w:hyperlink w:anchor="_Toc53399919" w:history="1">
            <w:r w:rsidRPr="005E6715">
              <w:rPr>
                <w:rStyle w:val="Hyperlink"/>
                <w:noProof/>
                <w:lang w:val="en-GB"/>
              </w:rPr>
              <w:t>2.4.2</w:t>
            </w:r>
            <w:r>
              <w:rPr>
                <w:rFonts w:eastAsiaTheme="minorEastAsia"/>
                <w:noProof/>
              </w:rPr>
              <w:tab/>
            </w:r>
            <w:r w:rsidRPr="005E6715">
              <w:rPr>
                <w:rStyle w:val="Hyperlink"/>
                <w:noProof/>
                <w:lang w:val="en-GB"/>
              </w:rPr>
              <w:t>ART Retention rates by S/C</w:t>
            </w:r>
            <w:r>
              <w:rPr>
                <w:noProof/>
                <w:webHidden/>
              </w:rPr>
              <w:tab/>
            </w:r>
            <w:r>
              <w:rPr>
                <w:noProof/>
                <w:webHidden/>
              </w:rPr>
              <w:fldChar w:fldCharType="begin"/>
            </w:r>
            <w:r>
              <w:rPr>
                <w:noProof/>
                <w:webHidden/>
              </w:rPr>
              <w:instrText xml:space="preserve"> PAGEREF _Toc53399919 \h </w:instrText>
            </w:r>
            <w:r>
              <w:rPr>
                <w:noProof/>
                <w:webHidden/>
              </w:rPr>
            </w:r>
            <w:r>
              <w:rPr>
                <w:noProof/>
                <w:webHidden/>
              </w:rPr>
              <w:fldChar w:fldCharType="separate"/>
            </w:r>
            <w:r>
              <w:rPr>
                <w:noProof/>
                <w:webHidden/>
              </w:rPr>
              <w:t>5</w:t>
            </w:r>
            <w:r>
              <w:rPr>
                <w:noProof/>
                <w:webHidden/>
              </w:rPr>
              <w:fldChar w:fldCharType="end"/>
            </w:r>
          </w:hyperlink>
        </w:p>
        <w:p w:rsidR="00191FD3" w:rsidRDefault="00191FD3">
          <w:pPr>
            <w:pStyle w:val="TOC2"/>
            <w:tabs>
              <w:tab w:val="left" w:pos="960"/>
              <w:tab w:val="right" w:leader="dot" w:pos="13950"/>
            </w:tabs>
            <w:rPr>
              <w:rFonts w:eastAsiaTheme="minorEastAsia"/>
              <w:b w:val="0"/>
              <w:noProof/>
            </w:rPr>
          </w:pPr>
          <w:hyperlink w:anchor="_Toc53399920" w:history="1">
            <w:r w:rsidRPr="005E6715">
              <w:rPr>
                <w:rStyle w:val="Hyperlink"/>
                <w:noProof/>
                <w:lang w:val="en-GB"/>
              </w:rPr>
              <w:t>2.5</w:t>
            </w:r>
            <w:r>
              <w:rPr>
                <w:rFonts w:eastAsiaTheme="minorEastAsia"/>
                <w:b w:val="0"/>
                <w:noProof/>
              </w:rPr>
              <w:tab/>
            </w:r>
            <w:r w:rsidRPr="005E6715">
              <w:rPr>
                <w:rStyle w:val="Hyperlink"/>
                <w:noProof/>
                <w:lang w:val="en-GB"/>
              </w:rPr>
              <w:t>Reporting rates</w:t>
            </w:r>
            <w:r>
              <w:rPr>
                <w:noProof/>
                <w:webHidden/>
              </w:rPr>
              <w:tab/>
            </w:r>
            <w:r>
              <w:rPr>
                <w:noProof/>
                <w:webHidden/>
              </w:rPr>
              <w:fldChar w:fldCharType="begin"/>
            </w:r>
            <w:r>
              <w:rPr>
                <w:noProof/>
                <w:webHidden/>
              </w:rPr>
              <w:instrText xml:space="preserve"> PAGEREF _Toc53399920 \h </w:instrText>
            </w:r>
            <w:r>
              <w:rPr>
                <w:noProof/>
                <w:webHidden/>
              </w:rPr>
            </w:r>
            <w:r>
              <w:rPr>
                <w:noProof/>
                <w:webHidden/>
              </w:rPr>
              <w:fldChar w:fldCharType="separate"/>
            </w:r>
            <w:r>
              <w:rPr>
                <w:noProof/>
                <w:webHidden/>
              </w:rPr>
              <w:t>5</w:t>
            </w:r>
            <w:r>
              <w:rPr>
                <w:noProof/>
                <w:webHidden/>
              </w:rPr>
              <w:fldChar w:fldCharType="end"/>
            </w:r>
          </w:hyperlink>
        </w:p>
        <w:p w:rsidR="00191FD3" w:rsidRDefault="00191FD3">
          <w:pPr>
            <w:pStyle w:val="TOC1"/>
            <w:tabs>
              <w:tab w:val="left" w:pos="480"/>
              <w:tab w:val="right" w:leader="dot" w:pos="13950"/>
            </w:tabs>
            <w:rPr>
              <w:rFonts w:eastAsiaTheme="minorEastAsia"/>
              <w:b w:val="0"/>
              <w:noProof/>
              <w:sz w:val="22"/>
              <w:szCs w:val="22"/>
            </w:rPr>
          </w:pPr>
          <w:hyperlink w:anchor="_Toc53399921" w:history="1">
            <w:r w:rsidRPr="005E6715">
              <w:rPr>
                <w:rStyle w:val="Hyperlink"/>
                <w:noProof/>
                <w:lang w:val="en-GB"/>
              </w:rPr>
              <w:t>3</w:t>
            </w:r>
            <w:r>
              <w:rPr>
                <w:rFonts w:eastAsiaTheme="minorEastAsia"/>
                <w:b w:val="0"/>
                <w:noProof/>
                <w:sz w:val="22"/>
                <w:szCs w:val="22"/>
              </w:rPr>
              <w:tab/>
            </w:r>
            <w:r w:rsidRPr="005E6715">
              <w:rPr>
                <w:rStyle w:val="Hyperlink"/>
                <w:noProof/>
                <w:lang w:val="en-GB"/>
              </w:rPr>
              <w:t>Medicines availability</w:t>
            </w:r>
            <w:r>
              <w:rPr>
                <w:noProof/>
                <w:webHidden/>
              </w:rPr>
              <w:tab/>
            </w:r>
            <w:r>
              <w:rPr>
                <w:noProof/>
                <w:webHidden/>
              </w:rPr>
              <w:fldChar w:fldCharType="begin"/>
            </w:r>
            <w:r>
              <w:rPr>
                <w:noProof/>
                <w:webHidden/>
              </w:rPr>
              <w:instrText xml:space="preserve"> PAGEREF _Toc53399921 \h </w:instrText>
            </w:r>
            <w:r>
              <w:rPr>
                <w:noProof/>
                <w:webHidden/>
              </w:rPr>
            </w:r>
            <w:r>
              <w:rPr>
                <w:noProof/>
                <w:webHidden/>
              </w:rPr>
              <w:fldChar w:fldCharType="separate"/>
            </w:r>
            <w:r>
              <w:rPr>
                <w:noProof/>
                <w:webHidden/>
              </w:rPr>
              <w:t>5</w:t>
            </w:r>
            <w:r>
              <w:rPr>
                <w:noProof/>
                <w:webHidden/>
              </w:rPr>
              <w:fldChar w:fldCharType="end"/>
            </w:r>
          </w:hyperlink>
        </w:p>
        <w:p w:rsidR="00191FD3" w:rsidRDefault="00191FD3">
          <w:pPr>
            <w:pStyle w:val="TOC1"/>
            <w:tabs>
              <w:tab w:val="left" w:pos="480"/>
              <w:tab w:val="right" w:leader="dot" w:pos="13950"/>
            </w:tabs>
            <w:rPr>
              <w:rFonts w:eastAsiaTheme="minorEastAsia"/>
              <w:b w:val="0"/>
              <w:noProof/>
              <w:sz w:val="22"/>
              <w:szCs w:val="22"/>
            </w:rPr>
          </w:pPr>
          <w:hyperlink w:anchor="_Toc53399922" w:history="1">
            <w:r w:rsidRPr="005E6715">
              <w:rPr>
                <w:rStyle w:val="Hyperlink"/>
                <w:noProof/>
                <w:lang w:val="en-GB"/>
              </w:rPr>
              <w:t>4</w:t>
            </w:r>
            <w:r>
              <w:rPr>
                <w:rFonts w:eastAsiaTheme="minorEastAsia"/>
                <w:b w:val="0"/>
                <w:noProof/>
                <w:sz w:val="22"/>
                <w:szCs w:val="22"/>
              </w:rPr>
              <w:tab/>
            </w:r>
            <w:r w:rsidRPr="005E6715">
              <w:rPr>
                <w:rStyle w:val="Hyperlink"/>
                <w:noProof/>
                <w:lang w:val="en-GB"/>
              </w:rPr>
              <w:t>RED performance for FY 2019/2020</w:t>
            </w:r>
            <w:r>
              <w:rPr>
                <w:noProof/>
                <w:webHidden/>
              </w:rPr>
              <w:tab/>
            </w:r>
            <w:r>
              <w:rPr>
                <w:noProof/>
                <w:webHidden/>
              </w:rPr>
              <w:fldChar w:fldCharType="begin"/>
            </w:r>
            <w:r>
              <w:rPr>
                <w:noProof/>
                <w:webHidden/>
              </w:rPr>
              <w:instrText xml:space="preserve"> PAGEREF _Toc53399922 \h </w:instrText>
            </w:r>
            <w:r>
              <w:rPr>
                <w:noProof/>
                <w:webHidden/>
              </w:rPr>
            </w:r>
            <w:r>
              <w:rPr>
                <w:noProof/>
                <w:webHidden/>
              </w:rPr>
              <w:fldChar w:fldCharType="separate"/>
            </w:r>
            <w:r>
              <w:rPr>
                <w:noProof/>
                <w:webHidden/>
              </w:rPr>
              <w:t>5</w:t>
            </w:r>
            <w:r>
              <w:rPr>
                <w:noProof/>
                <w:webHidden/>
              </w:rPr>
              <w:fldChar w:fldCharType="end"/>
            </w:r>
          </w:hyperlink>
        </w:p>
        <w:p w:rsidR="00191FD3" w:rsidRDefault="00191FD3">
          <w:pPr>
            <w:pStyle w:val="TOC1"/>
            <w:tabs>
              <w:tab w:val="left" w:pos="480"/>
              <w:tab w:val="right" w:leader="dot" w:pos="13950"/>
            </w:tabs>
            <w:rPr>
              <w:rFonts w:eastAsiaTheme="minorEastAsia"/>
              <w:b w:val="0"/>
              <w:noProof/>
              <w:sz w:val="22"/>
              <w:szCs w:val="22"/>
            </w:rPr>
          </w:pPr>
          <w:hyperlink w:anchor="_Toc53399923" w:history="1">
            <w:r w:rsidRPr="005E6715">
              <w:rPr>
                <w:rStyle w:val="Hyperlink"/>
                <w:noProof/>
                <w:lang w:val="en-GB"/>
              </w:rPr>
              <w:t>5</w:t>
            </w:r>
            <w:r>
              <w:rPr>
                <w:rFonts w:eastAsiaTheme="minorEastAsia"/>
                <w:b w:val="0"/>
                <w:noProof/>
                <w:sz w:val="22"/>
                <w:szCs w:val="22"/>
              </w:rPr>
              <w:tab/>
            </w:r>
            <w:r w:rsidRPr="005E6715">
              <w:rPr>
                <w:rStyle w:val="Hyperlink"/>
                <w:noProof/>
                <w:lang w:val="en-GB"/>
              </w:rPr>
              <w:t>Summary of performance</w:t>
            </w:r>
            <w:r>
              <w:rPr>
                <w:noProof/>
                <w:webHidden/>
              </w:rPr>
              <w:tab/>
            </w:r>
            <w:r>
              <w:rPr>
                <w:noProof/>
                <w:webHidden/>
              </w:rPr>
              <w:fldChar w:fldCharType="begin"/>
            </w:r>
            <w:r>
              <w:rPr>
                <w:noProof/>
                <w:webHidden/>
              </w:rPr>
              <w:instrText xml:space="preserve"> PAGEREF _Toc53399923 \h </w:instrText>
            </w:r>
            <w:r>
              <w:rPr>
                <w:noProof/>
                <w:webHidden/>
              </w:rPr>
            </w:r>
            <w:r>
              <w:rPr>
                <w:noProof/>
                <w:webHidden/>
              </w:rPr>
              <w:fldChar w:fldCharType="separate"/>
            </w:r>
            <w:r>
              <w:rPr>
                <w:noProof/>
                <w:webHidden/>
              </w:rPr>
              <w:t>6</w:t>
            </w:r>
            <w:r>
              <w:rPr>
                <w:noProof/>
                <w:webHidden/>
              </w:rPr>
              <w:fldChar w:fldCharType="end"/>
            </w:r>
          </w:hyperlink>
        </w:p>
        <w:p w:rsidR="00834CD6" w:rsidRPr="00403F70" w:rsidRDefault="00A05646">
          <w:r w:rsidRPr="00267B82">
            <w:rPr>
              <w:b/>
              <w:bCs/>
              <w:noProof/>
              <w:color w:val="000000" w:themeColor="text1"/>
            </w:rPr>
            <w:fldChar w:fldCharType="end"/>
          </w:r>
        </w:p>
      </w:sdtContent>
    </w:sdt>
    <w:p w:rsidR="00336A24" w:rsidRDefault="00336A24">
      <w:pPr>
        <w:rPr>
          <w:lang w:val="en-GB"/>
        </w:rPr>
      </w:pPr>
    </w:p>
    <w:p w:rsidR="00FC4CFA" w:rsidRDefault="00FC4CFA">
      <w:pPr>
        <w:rPr>
          <w:lang w:val="en-GB"/>
        </w:rPr>
      </w:pPr>
    </w:p>
    <w:p w:rsidR="00FC4CFA" w:rsidRDefault="00FC4CFA">
      <w:pPr>
        <w:rPr>
          <w:lang w:val="en-GB"/>
        </w:rPr>
        <w:sectPr w:rsidR="00FC4CFA" w:rsidSect="00B87923">
          <w:type w:val="continuous"/>
          <w:pgSz w:w="16840" w:h="23820" w:code="8"/>
          <w:pgMar w:top="1440" w:right="1440" w:bottom="1440" w:left="1440" w:header="720" w:footer="720" w:gutter="0"/>
          <w:cols w:space="720"/>
          <w:docGrid w:linePitch="360"/>
        </w:sectPr>
      </w:pPr>
      <w:bookmarkStart w:id="0" w:name="_GoBack"/>
      <w:bookmarkEnd w:id="0"/>
    </w:p>
    <w:p w:rsidR="00834CD6" w:rsidRDefault="00834CD6" w:rsidP="00D55465">
      <w:pPr>
        <w:pStyle w:val="Heading1"/>
      </w:pPr>
      <w:bookmarkStart w:id="1" w:name="_Toc53399897"/>
      <w:r>
        <w:lastRenderedPageBreak/>
        <w:t>Introduction</w:t>
      </w:r>
      <w:bookmarkEnd w:id="1"/>
    </w:p>
    <w:p w:rsidR="00356809" w:rsidRDefault="00356809" w:rsidP="00356809">
      <w:r>
        <w:t>The Annual Health performance report for Jinja is compiled to highlight progress, lessons learnt and challenges and propose ways of moving the health sector forward in relation to the National Development Plan (NDP), National Health Policy, the Health Sector Development plan and annual work plan.</w:t>
      </w:r>
    </w:p>
    <w:p w:rsidR="00356809" w:rsidRPr="007C77D3" w:rsidRDefault="00356809" w:rsidP="00356809">
      <w:r>
        <w:t>The report mainly focuses on the progress of the annual work plan as well as overall health sector performance against the distric</w:t>
      </w:r>
      <w:r w:rsidR="00BB308D">
        <w:t>t targets set for the FY 2019/2020</w:t>
      </w:r>
      <w:r>
        <w:t>. The analysis has taken into account trends of the year under review as well as comparing the previous year.</w:t>
      </w:r>
    </w:p>
    <w:p w:rsidR="00356809" w:rsidRDefault="00356809" w:rsidP="00356809">
      <w:r>
        <w:t xml:space="preserve">The objective of the report is to review the performance </w:t>
      </w:r>
      <w:r w:rsidR="00BB308D">
        <w:t>of the sector for the FY 2019/20</w:t>
      </w:r>
      <w:r>
        <w:t xml:space="preserve"> against targets for the core indicators, mostly adopted from the national health sector priorities. </w:t>
      </w:r>
    </w:p>
    <w:p w:rsidR="003954D9" w:rsidRPr="00356809" w:rsidRDefault="00356809">
      <w:r>
        <w:t xml:space="preserve">The information used in compiling the annual report is </w:t>
      </w:r>
      <w:r w:rsidR="00A91DA2">
        <w:t xml:space="preserve">only </w:t>
      </w:r>
      <w:r>
        <w:t>both quantitativ</w:t>
      </w:r>
      <w:r w:rsidR="00A91DA2">
        <w:t>e</w:t>
      </w:r>
      <w:r>
        <w:t xml:space="preserve">. This report uses the HMIS aggregated periodic reports from the District Health Information Software (DHIS)-2 for the entire FY. </w:t>
      </w:r>
    </w:p>
    <w:p w:rsidR="00304750" w:rsidRPr="00304750" w:rsidRDefault="001F4B1A" w:rsidP="00304750">
      <w:pPr>
        <w:pStyle w:val="Heading2"/>
        <w:rPr>
          <w:lang w:val="en-GB"/>
        </w:rPr>
      </w:pPr>
      <w:bookmarkStart w:id="2" w:name="_Toc53399898"/>
      <w:r>
        <w:rPr>
          <w:lang w:val="en-GB"/>
        </w:rPr>
        <w:t>Demographic composition</w:t>
      </w:r>
      <w:bookmarkEnd w:id="2"/>
      <w:r w:rsidR="00304750">
        <w:rPr>
          <w:lang w:val="en-GB"/>
        </w:rPr>
        <w:fldChar w:fldCharType="begin"/>
      </w:r>
      <w:r w:rsidR="00304750" w:rsidRPr="00304750">
        <w:rPr>
          <w:lang w:val="en-GB"/>
        </w:rPr>
        <w:instrText xml:space="preserve"> LINK </w:instrText>
      </w:r>
      <w:r w:rsidR="0074243C">
        <w:rPr>
          <w:lang w:val="en-GB"/>
        </w:rPr>
        <w:instrText xml:space="preserve">Excel.Sheet.12 Book1 Sheet1!R3C14:R14C16 </w:instrText>
      </w:r>
      <w:r w:rsidR="00304750" w:rsidRPr="00304750">
        <w:rPr>
          <w:lang w:val="en-GB"/>
        </w:rPr>
        <w:instrText xml:space="preserve">\a \f 5 \h  \* MERGEFORMAT </w:instrText>
      </w:r>
      <w:r w:rsidR="00304750">
        <w:rPr>
          <w:lang w:val="en-GB"/>
        </w:rPr>
        <w:fldChar w:fldCharType="separate"/>
      </w:r>
    </w:p>
    <w:tbl>
      <w:tblPr>
        <w:tblStyle w:val="GridTable4-Accent41"/>
        <w:tblW w:w="6565" w:type="dxa"/>
        <w:tblLook w:val="04A0" w:firstRow="1" w:lastRow="0" w:firstColumn="1" w:lastColumn="0" w:noHBand="0" w:noVBand="1"/>
      </w:tblPr>
      <w:tblGrid>
        <w:gridCol w:w="3415"/>
        <w:gridCol w:w="1350"/>
        <w:gridCol w:w="1800"/>
      </w:tblGrid>
      <w:tr w:rsidR="00304750" w:rsidRPr="00304750" w:rsidTr="0030475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5" w:type="dxa"/>
            <w:noWrap/>
            <w:hideMark/>
          </w:tcPr>
          <w:p w:rsidR="00304750" w:rsidRPr="00304750" w:rsidRDefault="00304750" w:rsidP="00304750">
            <w:pPr>
              <w:spacing w:line="240" w:lineRule="exact"/>
            </w:pPr>
            <w:r w:rsidRPr="00304750">
              <w:t>Demographic Variable</w:t>
            </w:r>
          </w:p>
        </w:tc>
        <w:tc>
          <w:tcPr>
            <w:tcW w:w="1350" w:type="dxa"/>
            <w:noWrap/>
            <w:hideMark/>
          </w:tcPr>
          <w:p w:rsidR="00304750" w:rsidRPr="00304750" w:rsidRDefault="00304750" w:rsidP="00304750">
            <w:pPr>
              <w:spacing w:line="240" w:lineRule="exact"/>
              <w:cnfStyle w:val="100000000000" w:firstRow="1" w:lastRow="0" w:firstColumn="0" w:lastColumn="0" w:oddVBand="0" w:evenVBand="0" w:oddHBand="0" w:evenHBand="0" w:firstRowFirstColumn="0" w:firstRowLastColumn="0" w:lastRowFirstColumn="0" w:lastRowLastColumn="0"/>
            </w:pPr>
            <w:r w:rsidRPr="00304750">
              <w:t>Proportion</w:t>
            </w:r>
          </w:p>
        </w:tc>
        <w:tc>
          <w:tcPr>
            <w:tcW w:w="1800" w:type="dxa"/>
            <w:noWrap/>
            <w:hideMark/>
          </w:tcPr>
          <w:p w:rsidR="00304750" w:rsidRPr="00304750" w:rsidRDefault="00304750" w:rsidP="00304750">
            <w:pPr>
              <w:spacing w:line="240" w:lineRule="exact"/>
              <w:cnfStyle w:val="100000000000" w:firstRow="1" w:lastRow="0" w:firstColumn="0" w:lastColumn="0" w:oddVBand="0" w:evenVBand="0" w:oddHBand="0" w:evenHBand="0" w:firstRowFirstColumn="0" w:firstRowLastColumn="0" w:lastRowFirstColumn="0" w:lastRowLastColumn="0"/>
            </w:pPr>
            <w:r w:rsidRPr="00304750">
              <w:t>Estimated Population</w:t>
            </w:r>
          </w:p>
        </w:tc>
      </w:tr>
      <w:tr w:rsidR="00304750" w:rsidRPr="00304750" w:rsidTr="003047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5" w:type="dxa"/>
            <w:noWrap/>
            <w:hideMark/>
          </w:tcPr>
          <w:p w:rsidR="00304750" w:rsidRPr="00304750" w:rsidRDefault="00304750" w:rsidP="00304750">
            <w:pPr>
              <w:spacing w:line="240" w:lineRule="exact"/>
              <w:rPr>
                <w:b w:val="0"/>
              </w:rPr>
            </w:pPr>
            <w:r w:rsidRPr="00304750">
              <w:rPr>
                <w:b w:val="0"/>
              </w:rPr>
              <w:t>Total Population</w:t>
            </w:r>
          </w:p>
        </w:tc>
        <w:tc>
          <w:tcPr>
            <w:tcW w:w="1350" w:type="dxa"/>
            <w:noWrap/>
            <w:hideMark/>
          </w:tcPr>
          <w:p w:rsidR="00304750" w:rsidRPr="00304750" w:rsidRDefault="00304750" w:rsidP="00304750">
            <w:pPr>
              <w:spacing w:line="240" w:lineRule="exact"/>
              <w:cnfStyle w:val="000000100000" w:firstRow="0" w:lastRow="0" w:firstColumn="0" w:lastColumn="0" w:oddVBand="0" w:evenVBand="0" w:oddHBand="1" w:evenHBand="0" w:firstRowFirstColumn="0" w:firstRowLastColumn="0" w:lastRowFirstColumn="0" w:lastRowLastColumn="0"/>
            </w:pPr>
            <w:r w:rsidRPr="00304750">
              <w:t>100%</w:t>
            </w:r>
          </w:p>
        </w:tc>
        <w:tc>
          <w:tcPr>
            <w:tcW w:w="1800" w:type="dxa"/>
            <w:noWrap/>
            <w:hideMark/>
          </w:tcPr>
          <w:p w:rsidR="00304750" w:rsidRPr="00304750" w:rsidRDefault="00304750" w:rsidP="00304750">
            <w:pPr>
              <w:spacing w:line="240" w:lineRule="exact"/>
              <w:cnfStyle w:val="000000100000" w:firstRow="0" w:lastRow="0" w:firstColumn="0" w:lastColumn="0" w:oddVBand="0" w:evenVBand="0" w:oddHBand="1" w:evenHBand="0" w:firstRowFirstColumn="0" w:firstRowLastColumn="0" w:lastRowFirstColumn="0" w:lastRowLastColumn="0"/>
            </w:pPr>
            <w:r w:rsidRPr="00304750">
              <w:t>518,330</w:t>
            </w:r>
          </w:p>
        </w:tc>
      </w:tr>
      <w:tr w:rsidR="00304750" w:rsidRPr="00304750" w:rsidTr="00304750">
        <w:trPr>
          <w:trHeight w:val="20"/>
        </w:trPr>
        <w:tc>
          <w:tcPr>
            <w:cnfStyle w:val="001000000000" w:firstRow="0" w:lastRow="0" w:firstColumn="1" w:lastColumn="0" w:oddVBand="0" w:evenVBand="0" w:oddHBand="0" w:evenHBand="0" w:firstRowFirstColumn="0" w:firstRowLastColumn="0" w:lastRowFirstColumn="0" w:lastRowLastColumn="0"/>
            <w:tcW w:w="3415" w:type="dxa"/>
            <w:noWrap/>
            <w:hideMark/>
          </w:tcPr>
          <w:p w:rsidR="00304750" w:rsidRPr="00304750" w:rsidRDefault="00304750" w:rsidP="00304750">
            <w:pPr>
              <w:spacing w:line="240" w:lineRule="exact"/>
              <w:rPr>
                <w:b w:val="0"/>
              </w:rPr>
            </w:pPr>
            <w:r w:rsidRPr="00304750">
              <w:rPr>
                <w:b w:val="0"/>
              </w:rPr>
              <w:t>Children below 18 years</w:t>
            </w:r>
          </w:p>
        </w:tc>
        <w:tc>
          <w:tcPr>
            <w:tcW w:w="1350" w:type="dxa"/>
            <w:noWrap/>
            <w:hideMark/>
          </w:tcPr>
          <w:p w:rsidR="00304750" w:rsidRPr="00304750" w:rsidRDefault="00304750" w:rsidP="00304750">
            <w:pPr>
              <w:spacing w:line="240" w:lineRule="exact"/>
              <w:cnfStyle w:val="000000000000" w:firstRow="0" w:lastRow="0" w:firstColumn="0" w:lastColumn="0" w:oddVBand="0" w:evenVBand="0" w:oddHBand="0" w:evenHBand="0" w:firstRowFirstColumn="0" w:firstRowLastColumn="0" w:lastRowFirstColumn="0" w:lastRowLastColumn="0"/>
            </w:pPr>
            <w:r w:rsidRPr="00304750">
              <w:t>56%</w:t>
            </w:r>
          </w:p>
        </w:tc>
        <w:tc>
          <w:tcPr>
            <w:tcW w:w="1800" w:type="dxa"/>
            <w:noWrap/>
            <w:hideMark/>
          </w:tcPr>
          <w:p w:rsidR="00304750" w:rsidRPr="00304750" w:rsidRDefault="00304750" w:rsidP="00304750">
            <w:pPr>
              <w:spacing w:line="240" w:lineRule="exact"/>
              <w:cnfStyle w:val="000000000000" w:firstRow="0" w:lastRow="0" w:firstColumn="0" w:lastColumn="0" w:oddVBand="0" w:evenVBand="0" w:oddHBand="0" w:evenHBand="0" w:firstRowFirstColumn="0" w:firstRowLastColumn="0" w:lastRowFirstColumn="0" w:lastRowLastColumn="0"/>
            </w:pPr>
            <w:r w:rsidRPr="00304750">
              <w:t>290,265</w:t>
            </w:r>
          </w:p>
        </w:tc>
      </w:tr>
      <w:tr w:rsidR="00304750" w:rsidRPr="00304750" w:rsidTr="003047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5" w:type="dxa"/>
            <w:noWrap/>
            <w:hideMark/>
          </w:tcPr>
          <w:p w:rsidR="00304750" w:rsidRPr="00304750" w:rsidRDefault="00304750" w:rsidP="00304750">
            <w:pPr>
              <w:spacing w:line="240" w:lineRule="exact"/>
              <w:rPr>
                <w:b w:val="0"/>
              </w:rPr>
            </w:pPr>
            <w:r w:rsidRPr="00304750">
              <w:rPr>
                <w:b w:val="0"/>
              </w:rPr>
              <w:t xml:space="preserve">Adolescent youth (10-24 </w:t>
            </w:r>
            <w:proofErr w:type="spellStart"/>
            <w:r w:rsidRPr="00304750">
              <w:rPr>
                <w:b w:val="0"/>
              </w:rPr>
              <w:t>yrs</w:t>
            </w:r>
            <w:proofErr w:type="spellEnd"/>
            <w:r w:rsidRPr="00304750">
              <w:rPr>
                <w:b w:val="0"/>
              </w:rPr>
              <w:t>)</w:t>
            </w:r>
          </w:p>
        </w:tc>
        <w:tc>
          <w:tcPr>
            <w:tcW w:w="1350" w:type="dxa"/>
            <w:noWrap/>
            <w:hideMark/>
          </w:tcPr>
          <w:p w:rsidR="00304750" w:rsidRPr="00304750" w:rsidRDefault="00304750" w:rsidP="00304750">
            <w:pPr>
              <w:spacing w:line="240" w:lineRule="exact"/>
              <w:cnfStyle w:val="000000100000" w:firstRow="0" w:lastRow="0" w:firstColumn="0" w:lastColumn="0" w:oddVBand="0" w:evenVBand="0" w:oddHBand="1" w:evenHBand="0" w:firstRowFirstColumn="0" w:firstRowLastColumn="0" w:lastRowFirstColumn="0" w:lastRowLastColumn="0"/>
            </w:pPr>
            <w:r w:rsidRPr="00304750">
              <w:t>34.70%</w:t>
            </w:r>
          </w:p>
        </w:tc>
        <w:tc>
          <w:tcPr>
            <w:tcW w:w="1800" w:type="dxa"/>
            <w:noWrap/>
            <w:hideMark/>
          </w:tcPr>
          <w:p w:rsidR="00304750" w:rsidRPr="00304750" w:rsidRDefault="00304750" w:rsidP="00304750">
            <w:pPr>
              <w:spacing w:line="240" w:lineRule="exact"/>
              <w:cnfStyle w:val="000000100000" w:firstRow="0" w:lastRow="0" w:firstColumn="0" w:lastColumn="0" w:oddVBand="0" w:evenVBand="0" w:oddHBand="1" w:evenHBand="0" w:firstRowFirstColumn="0" w:firstRowLastColumn="0" w:lastRowFirstColumn="0" w:lastRowLastColumn="0"/>
            </w:pPr>
            <w:r w:rsidRPr="00304750">
              <w:t>179,861</w:t>
            </w:r>
          </w:p>
        </w:tc>
      </w:tr>
      <w:tr w:rsidR="00304750" w:rsidRPr="00304750" w:rsidTr="00304750">
        <w:trPr>
          <w:trHeight w:val="20"/>
        </w:trPr>
        <w:tc>
          <w:tcPr>
            <w:cnfStyle w:val="001000000000" w:firstRow="0" w:lastRow="0" w:firstColumn="1" w:lastColumn="0" w:oddVBand="0" w:evenVBand="0" w:oddHBand="0" w:evenHBand="0" w:firstRowFirstColumn="0" w:firstRowLastColumn="0" w:lastRowFirstColumn="0" w:lastRowLastColumn="0"/>
            <w:tcW w:w="3415" w:type="dxa"/>
            <w:noWrap/>
            <w:hideMark/>
          </w:tcPr>
          <w:p w:rsidR="00304750" w:rsidRPr="00304750" w:rsidRDefault="00304750" w:rsidP="00304750">
            <w:pPr>
              <w:spacing w:line="240" w:lineRule="exact"/>
              <w:rPr>
                <w:b w:val="0"/>
              </w:rPr>
            </w:pPr>
            <w:r w:rsidRPr="00304750">
              <w:rPr>
                <w:b w:val="0"/>
              </w:rPr>
              <w:t>Orphans (for children below 18yrs)</w:t>
            </w:r>
          </w:p>
        </w:tc>
        <w:tc>
          <w:tcPr>
            <w:tcW w:w="1350" w:type="dxa"/>
            <w:noWrap/>
            <w:hideMark/>
          </w:tcPr>
          <w:p w:rsidR="00304750" w:rsidRPr="00304750" w:rsidRDefault="00304750" w:rsidP="00304750">
            <w:pPr>
              <w:spacing w:line="240" w:lineRule="exact"/>
              <w:cnfStyle w:val="000000000000" w:firstRow="0" w:lastRow="0" w:firstColumn="0" w:lastColumn="0" w:oddVBand="0" w:evenVBand="0" w:oddHBand="0" w:evenHBand="0" w:firstRowFirstColumn="0" w:firstRowLastColumn="0" w:lastRowFirstColumn="0" w:lastRowLastColumn="0"/>
            </w:pPr>
            <w:r w:rsidRPr="00304750">
              <w:t>10.90%</w:t>
            </w:r>
          </w:p>
        </w:tc>
        <w:tc>
          <w:tcPr>
            <w:tcW w:w="1800" w:type="dxa"/>
            <w:noWrap/>
            <w:hideMark/>
          </w:tcPr>
          <w:p w:rsidR="00304750" w:rsidRPr="00304750" w:rsidRDefault="00304750" w:rsidP="00304750">
            <w:pPr>
              <w:spacing w:line="240" w:lineRule="exact"/>
              <w:cnfStyle w:val="000000000000" w:firstRow="0" w:lastRow="0" w:firstColumn="0" w:lastColumn="0" w:oddVBand="0" w:evenVBand="0" w:oddHBand="0" w:evenHBand="0" w:firstRowFirstColumn="0" w:firstRowLastColumn="0" w:lastRowFirstColumn="0" w:lastRowLastColumn="0"/>
            </w:pPr>
            <w:r w:rsidRPr="00304750">
              <w:t>56,498</w:t>
            </w:r>
          </w:p>
        </w:tc>
      </w:tr>
      <w:tr w:rsidR="00304750" w:rsidRPr="00304750" w:rsidTr="003047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5" w:type="dxa"/>
            <w:noWrap/>
            <w:hideMark/>
          </w:tcPr>
          <w:p w:rsidR="00304750" w:rsidRPr="00304750" w:rsidRDefault="00304750" w:rsidP="00304750">
            <w:pPr>
              <w:spacing w:line="240" w:lineRule="exact"/>
              <w:rPr>
                <w:b w:val="0"/>
              </w:rPr>
            </w:pPr>
            <w:r w:rsidRPr="00304750">
              <w:rPr>
                <w:b w:val="0"/>
              </w:rPr>
              <w:t>Infants below 1 year</w:t>
            </w:r>
          </w:p>
        </w:tc>
        <w:tc>
          <w:tcPr>
            <w:tcW w:w="1350" w:type="dxa"/>
            <w:noWrap/>
            <w:hideMark/>
          </w:tcPr>
          <w:p w:rsidR="00304750" w:rsidRPr="00304750" w:rsidRDefault="00304750" w:rsidP="00304750">
            <w:pPr>
              <w:spacing w:line="240" w:lineRule="exact"/>
              <w:cnfStyle w:val="000000100000" w:firstRow="0" w:lastRow="0" w:firstColumn="0" w:lastColumn="0" w:oddVBand="0" w:evenVBand="0" w:oddHBand="1" w:evenHBand="0" w:firstRowFirstColumn="0" w:firstRowLastColumn="0" w:lastRowFirstColumn="0" w:lastRowLastColumn="0"/>
            </w:pPr>
            <w:r w:rsidRPr="00304750">
              <w:t>4.30%</w:t>
            </w:r>
          </w:p>
        </w:tc>
        <w:tc>
          <w:tcPr>
            <w:tcW w:w="1800" w:type="dxa"/>
            <w:noWrap/>
            <w:hideMark/>
          </w:tcPr>
          <w:p w:rsidR="00304750" w:rsidRPr="00304750" w:rsidRDefault="00304750" w:rsidP="00304750">
            <w:pPr>
              <w:spacing w:line="240" w:lineRule="exact"/>
              <w:cnfStyle w:val="000000100000" w:firstRow="0" w:lastRow="0" w:firstColumn="0" w:lastColumn="0" w:oddVBand="0" w:evenVBand="0" w:oddHBand="1" w:evenHBand="0" w:firstRowFirstColumn="0" w:firstRowLastColumn="0" w:lastRowFirstColumn="0" w:lastRowLastColumn="0"/>
            </w:pPr>
            <w:r w:rsidRPr="00304750">
              <w:t>22,288</w:t>
            </w:r>
          </w:p>
        </w:tc>
      </w:tr>
      <w:tr w:rsidR="00304750" w:rsidRPr="00304750" w:rsidTr="00304750">
        <w:trPr>
          <w:trHeight w:val="20"/>
        </w:trPr>
        <w:tc>
          <w:tcPr>
            <w:cnfStyle w:val="001000000000" w:firstRow="0" w:lastRow="0" w:firstColumn="1" w:lastColumn="0" w:oddVBand="0" w:evenVBand="0" w:oddHBand="0" w:evenHBand="0" w:firstRowFirstColumn="0" w:firstRowLastColumn="0" w:lastRowFirstColumn="0" w:lastRowLastColumn="0"/>
            <w:tcW w:w="3415" w:type="dxa"/>
            <w:noWrap/>
            <w:hideMark/>
          </w:tcPr>
          <w:p w:rsidR="00304750" w:rsidRPr="00304750" w:rsidRDefault="00304750" w:rsidP="00304750">
            <w:pPr>
              <w:spacing w:line="240" w:lineRule="exact"/>
              <w:rPr>
                <w:b w:val="0"/>
              </w:rPr>
            </w:pPr>
            <w:r w:rsidRPr="00304750">
              <w:rPr>
                <w:b w:val="0"/>
              </w:rPr>
              <w:t>Children below 5 years</w:t>
            </w:r>
          </w:p>
        </w:tc>
        <w:tc>
          <w:tcPr>
            <w:tcW w:w="1350" w:type="dxa"/>
            <w:noWrap/>
            <w:hideMark/>
          </w:tcPr>
          <w:p w:rsidR="00304750" w:rsidRPr="00304750" w:rsidRDefault="00304750" w:rsidP="00304750">
            <w:pPr>
              <w:spacing w:line="240" w:lineRule="exact"/>
              <w:cnfStyle w:val="000000000000" w:firstRow="0" w:lastRow="0" w:firstColumn="0" w:lastColumn="0" w:oddVBand="0" w:evenVBand="0" w:oddHBand="0" w:evenHBand="0" w:firstRowFirstColumn="0" w:firstRowLastColumn="0" w:lastRowFirstColumn="0" w:lastRowLastColumn="0"/>
            </w:pPr>
            <w:r w:rsidRPr="00304750">
              <w:t>20.50%</w:t>
            </w:r>
          </w:p>
        </w:tc>
        <w:tc>
          <w:tcPr>
            <w:tcW w:w="1800" w:type="dxa"/>
            <w:noWrap/>
            <w:hideMark/>
          </w:tcPr>
          <w:p w:rsidR="00304750" w:rsidRPr="00304750" w:rsidRDefault="00304750" w:rsidP="00304750">
            <w:pPr>
              <w:spacing w:line="240" w:lineRule="exact"/>
              <w:cnfStyle w:val="000000000000" w:firstRow="0" w:lastRow="0" w:firstColumn="0" w:lastColumn="0" w:oddVBand="0" w:evenVBand="0" w:oddHBand="0" w:evenHBand="0" w:firstRowFirstColumn="0" w:firstRowLastColumn="0" w:lastRowFirstColumn="0" w:lastRowLastColumn="0"/>
            </w:pPr>
            <w:r w:rsidRPr="00304750">
              <w:t>106,258</w:t>
            </w:r>
          </w:p>
        </w:tc>
      </w:tr>
      <w:tr w:rsidR="00304750" w:rsidRPr="00304750" w:rsidTr="003047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5" w:type="dxa"/>
            <w:noWrap/>
            <w:hideMark/>
          </w:tcPr>
          <w:p w:rsidR="00304750" w:rsidRPr="00304750" w:rsidRDefault="00304750" w:rsidP="00304750">
            <w:pPr>
              <w:spacing w:line="240" w:lineRule="exact"/>
              <w:rPr>
                <w:b w:val="0"/>
              </w:rPr>
            </w:pPr>
            <w:r w:rsidRPr="00304750">
              <w:rPr>
                <w:b w:val="0"/>
              </w:rPr>
              <w:t>Women of reproductive age</w:t>
            </w:r>
          </w:p>
        </w:tc>
        <w:tc>
          <w:tcPr>
            <w:tcW w:w="1350" w:type="dxa"/>
            <w:noWrap/>
            <w:hideMark/>
          </w:tcPr>
          <w:p w:rsidR="00304750" w:rsidRPr="00304750" w:rsidRDefault="00304750" w:rsidP="00304750">
            <w:pPr>
              <w:spacing w:line="240" w:lineRule="exact"/>
              <w:cnfStyle w:val="000000100000" w:firstRow="0" w:lastRow="0" w:firstColumn="0" w:lastColumn="0" w:oddVBand="0" w:evenVBand="0" w:oddHBand="1" w:evenHBand="0" w:firstRowFirstColumn="0" w:firstRowLastColumn="0" w:lastRowFirstColumn="0" w:lastRowLastColumn="0"/>
            </w:pPr>
            <w:r w:rsidRPr="00304750">
              <w:t>47.80%</w:t>
            </w:r>
          </w:p>
        </w:tc>
        <w:tc>
          <w:tcPr>
            <w:tcW w:w="1800" w:type="dxa"/>
            <w:noWrap/>
            <w:hideMark/>
          </w:tcPr>
          <w:p w:rsidR="00304750" w:rsidRPr="00304750" w:rsidRDefault="00304750" w:rsidP="00304750">
            <w:pPr>
              <w:spacing w:line="240" w:lineRule="exact"/>
              <w:cnfStyle w:val="000000100000" w:firstRow="0" w:lastRow="0" w:firstColumn="0" w:lastColumn="0" w:oddVBand="0" w:evenVBand="0" w:oddHBand="1" w:evenHBand="0" w:firstRowFirstColumn="0" w:firstRowLastColumn="0" w:lastRowFirstColumn="0" w:lastRowLastColumn="0"/>
            </w:pPr>
            <w:r w:rsidRPr="00304750">
              <w:t>247,762</w:t>
            </w:r>
          </w:p>
        </w:tc>
      </w:tr>
      <w:tr w:rsidR="00304750" w:rsidRPr="00304750" w:rsidTr="00304750">
        <w:trPr>
          <w:trHeight w:val="20"/>
        </w:trPr>
        <w:tc>
          <w:tcPr>
            <w:cnfStyle w:val="001000000000" w:firstRow="0" w:lastRow="0" w:firstColumn="1" w:lastColumn="0" w:oddVBand="0" w:evenVBand="0" w:oddHBand="0" w:evenHBand="0" w:firstRowFirstColumn="0" w:firstRowLastColumn="0" w:lastRowFirstColumn="0" w:lastRowLastColumn="0"/>
            <w:tcW w:w="3415" w:type="dxa"/>
            <w:noWrap/>
            <w:hideMark/>
          </w:tcPr>
          <w:p w:rsidR="00304750" w:rsidRPr="00304750" w:rsidRDefault="00304750" w:rsidP="00304750">
            <w:pPr>
              <w:spacing w:line="240" w:lineRule="exact"/>
              <w:rPr>
                <w:b w:val="0"/>
              </w:rPr>
            </w:pPr>
            <w:r w:rsidRPr="00304750">
              <w:rPr>
                <w:b w:val="0"/>
              </w:rPr>
              <w:t>Expected number of pregnancies</w:t>
            </w:r>
          </w:p>
        </w:tc>
        <w:tc>
          <w:tcPr>
            <w:tcW w:w="1350" w:type="dxa"/>
            <w:noWrap/>
            <w:hideMark/>
          </w:tcPr>
          <w:p w:rsidR="00304750" w:rsidRPr="00304750" w:rsidRDefault="00304750" w:rsidP="00304750">
            <w:pPr>
              <w:spacing w:line="240" w:lineRule="exact"/>
              <w:cnfStyle w:val="000000000000" w:firstRow="0" w:lastRow="0" w:firstColumn="0" w:lastColumn="0" w:oddVBand="0" w:evenVBand="0" w:oddHBand="0" w:evenHBand="0" w:firstRowFirstColumn="0" w:firstRowLastColumn="0" w:lastRowFirstColumn="0" w:lastRowLastColumn="0"/>
            </w:pPr>
            <w:r w:rsidRPr="00304750">
              <w:t>5%</w:t>
            </w:r>
          </w:p>
        </w:tc>
        <w:tc>
          <w:tcPr>
            <w:tcW w:w="1800" w:type="dxa"/>
            <w:noWrap/>
            <w:hideMark/>
          </w:tcPr>
          <w:p w:rsidR="00304750" w:rsidRPr="00304750" w:rsidRDefault="00304750" w:rsidP="00304750">
            <w:pPr>
              <w:spacing w:line="240" w:lineRule="exact"/>
              <w:cnfStyle w:val="000000000000" w:firstRow="0" w:lastRow="0" w:firstColumn="0" w:lastColumn="0" w:oddVBand="0" w:evenVBand="0" w:oddHBand="0" w:evenHBand="0" w:firstRowFirstColumn="0" w:firstRowLastColumn="0" w:lastRowFirstColumn="0" w:lastRowLastColumn="0"/>
            </w:pPr>
            <w:r w:rsidRPr="00304750">
              <w:t>25,917</w:t>
            </w:r>
          </w:p>
        </w:tc>
      </w:tr>
      <w:tr w:rsidR="00304750" w:rsidRPr="00304750" w:rsidTr="003047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5" w:type="dxa"/>
            <w:noWrap/>
            <w:hideMark/>
          </w:tcPr>
          <w:p w:rsidR="00304750" w:rsidRPr="00304750" w:rsidRDefault="00304750" w:rsidP="00304750">
            <w:pPr>
              <w:spacing w:line="240" w:lineRule="exact"/>
              <w:rPr>
                <w:b w:val="0"/>
              </w:rPr>
            </w:pPr>
            <w:r w:rsidRPr="00304750">
              <w:rPr>
                <w:b w:val="0"/>
              </w:rPr>
              <w:t>Number of expected births</w:t>
            </w:r>
          </w:p>
        </w:tc>
        <w:tc>
          <w:tcPr>
            <w:tcW w:w="1350" w:type="dxa"/>
            <w:noWrap/>
            <w:hideMark/>
          </w:tcPr>
          <w:p w:rsidR="00304750" w:rsidRPr="00304750" w:rsidRDefault="00304750" w:rsidP="00304750">
            <w:pPr>
              <w:spacing w:line="240" w:lineRule="exact"/>
              <w:cnfStyle w:val="000000100000" w:firstRow="0" w:lastRow="0" w:firstColumn="0" w:lastColumn="0" w:oddVBand="0" w:evenVBand="0" w:oddHBand="1" w:evenHBand="0" w:firstRowFirstColumn="0" w:firstRowLastColumn="0" w:lastRowFirstColumn="0" w:lastRowLastColumn="0"/>
            </w:pPr>
            <w:r w:rsidRPr="00304750">
              <w:t>4.90%</w:t>
            </w:r>
          </w:p>
        </w:tc>
        <w:tc>
          <w:tcPr>
            <w:tcW w:w="1800" w:type="dxa"/>
            <w:noWrap/>
            <w:hideMark/>
          </w:tcPr>
          <w:p w:rsidR="00304750" w:rsidRPr="00304750" w:rsidRDefault="00304750" w:rsidP="00304750">
            <w:pPr>
              <w:spacing w:line="240" w:lineRule="exact"/>
              <w:cnfStyle w:val="000000100000" w:firstRow="0" w:lastRow="0" w:firstColumn="0" w:lastColumn="0" w:oddVBand="0" w:evenVBand="0" w:oddHBand="1" w:evenHBand="0" w:firstRowFirstColumn="0" w:firstRowLastColumn="0" w:lastRowFirstColumn="0" w:lastRowLastColumn="0"/>
            </w:pPr>
            <w:r w:rsidRPr="00304750">
              <w:t>25,398</w:t>
            </w:r>
          </w:p>
        </w:tc>
      </w:tr>
      <w:tr w:rsidR="00304750" w:rsidRPr="00304750" w:rsidTr="00304750">
        <w:trPr>
          <w:trHeight w:val="20"/>
        </w:trPr>
        <w:tc>
          <w:tcPr>
            <w:cnfStyle w:val="001000000000" w:firstRow="0" w:lastRow="0" w:firstColumn="1" w:lastColumn="0" w:oddVBand="0" w:evenVBand="0" w:oddHBand="0" w:evenHBand="0" w:firstRowFirstColumn="0" w:firstRowLastColumn="0" w:lastRowFirstColumn="0" w:lastRowLastColumn="0"/>
            <w:tcW w:w="3415" w:type="dxa"/>
            <w:noWrap/>
            <w:hideMark/>
          </w:tcPr>
          <w:p w:rsidR="00304750" w:rsidRPr="00304750" w:rsidRDefault="00304750" w:rsidP="00304750">
            <w:pPr>
              <w:spacing w:line="240" w:lineRule="exact"/>
              <w:rPr>
                <w:b w:val="0"/>
              </w:rPr>
            </w:pPr>
            <w:r w:rsidRPr="00304750">
              <w:rPr>
                <w:b w:val="0"/>
              </w:rPr>
              <w:t>People under 15 years of age</w:t>
            </w:r>
          </w:p>
        </w:tc>
        <w:tc>
          <w:tcPr>
            <w:tcW w:w="1350" w:type="dxa"/>
            <w:noWrap/>
            <w:hideMark/>
          </w:tcPr>
          <w:p w:rsidR="00304750" w:rsidRPr="00304750" w:rsidRDefault="00304750" w:rsidP="00304750">
            <w:pPr>
              <w:spacing w:line="240" w:lineRule="exact"/>
              <w:cnfStyle w:val="000000000000" w:firstRow="0" w:lastRow="0" w:firstColumn="0" w:lastColumn="0" w:oddVBand="0" w:evenVBand="0" w:oddHBand="0" w:evenHBand="0" w:firstRowFirstColumn="0" w:firstRowLastColumn="0" w:lastRowFirstColumn="0" w:lastRowLastColumn="0"/>
            </w:pPr>
            <w:r w:rsidRPr="00304750">
              <w:t>46%</w:t>
            </w:r>
          </w:p>
        </w:tc>
        <w:tc>
          <w:tcPr>
            <w:tcW w:w="1800" w:type="dxa"/>
            <w:noWrap/>
            <w:hideMark/>
          </w:tcPr>
          <w:p w:rsidR="00304750" w:rsidRPr="00304750" w:rsidRDefault="00304750" w:rsidP="00304750">
            <w:pPr>
              <w:spacing w:line="240" w:lineRule="exact"/>
              <w:cnfStyle w:val="000000000000" w:firstRow="0" w:lastRow="0" w:firstColumn="0" w:lastColumn="0" w:oddVBand="0" w:evenVBand="0" w:oddHBand="0" w:evenHBand="0" w:firstRowFirstColumn="0" w:firstRowLastColumn="0" w:lastRowFirstColumn="0" w:lastRowLastColumn="0"/>
            </w:pPr>
            <w:r w:rsidRPr="00304750">
              <w:t>238,432</w:t>
            </w:r>
          </w:p>
        </w:tc>
      </w:tr>
      <w:tr w:rsidR="00304750" w:rsidRPr="00304750" w:rsidTr="003047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5" w:type="dxa"/>
            <w:noWrap/>
            <w:hideMark/>
          </w:tcPr>
          <w:p w:rsidR="00304750" w:rsidRPr="00304750" w:rsidRDefault="00304750" w:rsidP="00304750">
            <w:pPr>
              <w:spacing w:line="240" w:lineRule="exact"/>
              <w:rPr>
                <w:b w:val="0"/>
              </w:rPr>
            </w:pPr>
            <w:r w:rsidRPr="00304750">
              <w:rPr>
                <w:b w:val="0"/>
              </w:rPr>
              <w:t>Estimated PLHIV</w:t>
            </w:r>
          </w:p>
        </w:tc>
        <w:tc>
          <w:tcPr>
            <w:tcW w:w="1350" w:type="dxa"/>
            <w:noWrap/>
            <w:hideMark/>
          </w:tcPr>
          <w:p w:rsidR="00304750" w:rsidRPr="00304750" w:rsidRDefault="00304750" w:rsidP="00304750">
            <w:pPr>
              <w:spacing w:line="240" w:lineRule="exact"/>
              <w:cnfStyle w:val="000000100000" w:firstRow="0" w:lastRow="0" w:firstColumn="0" w:lastColumn="0" w:oddVBand="0" w:evenVBand="0" w:oddHBand="1" w:evenHBand="0" w:firstRowFirstColumn="0" w:firstRowLastColumn="0" w:lastRowFirstColumn="0" w:lastRowLastColumn="0"/>
            </w:pPr>
            <w:r w:rsidRPr="00304750">
              <w:t>3.50%</w:t>
            </w:r>
          </w:p>
        </w:tc>
        <w:tc>
          <w:tcPr>
            <w:tcW w:w="1800" w:type="dxa"/>
            <w:noWrap/>
            <w:hideMark/>
          </w:tcPr>
          <w:p w:rsidR="00304750" w:rsidRPr="00304750" w:rsidRDefault="00304750" w:rsidP="00304750">
            <w:pPr>
              <w:spacing w:line="240" w:lineRule="exact"/>
              <w:cnfStyle w:val="000000100000" w:firstRow="0" w:lastRow="0" w:firstColumn="0" w:lastColumn="0" w:oddVBand="0" w:evenVBand="0" w:oddHBand="1" w:evenHBand="0" w:firstRowFirstColumn="0" w:firstRowLastColumn="0" w:lastRowFirstColumn="0" w:lastRowLastColumn="0"/>
            </w:pPr>
            <w:r w:rsidRPr="00304750">
              <w:t>18,142</w:t>
            </w:r>
          </w:p>
        </w:tc>
      </w:tr>
    </w:tbl>
    <w:p w:rsidR="0001710E" w:rsidRDefault="00304750">
      <w:pPr>
        <w:rPr>
          <w:lang w:val="en-GB"/>
        </w:rPr>
      </w:pPr>
      <w:r>
        <w:rPr>
          <w:lang w:val="en-GB"/>
        </w:rPr>
        <w:fldChar w:fldCharType="end"/>
      </w:r>
    </w:p>
    <w:p w:rsidR="00B95F73" w:rsidRDefault="001F4B1A" w:rsidP="00D55465">
      <w:pPr>
        <w:pStyle w:val="Heading2"/>
        <w:rPr>
          <w:lang w:val="en-GB"/>
        </w:rPr>
      </w:pPr>
      <w:bookmarkStart w:id="3" w:name="_Toc53399899"/>
      <w:r>
        <w:rPr>
          <w:lang w:val="en-GB"/>
        </w:rPr>
        <w:t>Morbidity</w:t>
      </w:r>
      <w:bookmarkEnd w:id="3"/>
    </w:p>
    <w:p w:rsidR="00356809" w:rsidRPr="00D55465" w:rsidRDefault="00356809" w:rsidP="00D55465">
      <w:pPr>
        <w:rPr>
          <w:lang w:val="en-GB"/>
        </w:rPr>
      </w:pPr>
      <w:r>
        <w:rPr>
          <w:lang w:val="en-GB"/>
        </w:rPr>
        <w:t xml:space="preserve">The leading cause of morbidity was common colds followed by Malaria in both under 5 years and above 5 years. </w:t>
      </w:r>
      <w:proofErr w:type="spellStart"/>
      <w:r w:rsidR="00D55465">
        <w:rPr>
          <w:lang w:val="en-GB"/>
        </w:rPr>
        <w:t>Diarrhea</w:t>
      </w:r>
      <w:proofErr w:type="spellEnd"/>
      <w:r w:rsidR="00D55465">
        <w:rPr>
          <w:lang w:val="en-GB"/>
        </w:rPr>
        <w:t xml:space="preserve"> acute contributed 10% in under 5 years while UTIs contributed 8% in above 5years. </w:t>
      </w:r>
    </w:p>
    <w:tbl>
      <w:tblPr>
        <w:tblStyle w:val="GridTable4-Accent41"/>
        <w:tblW w:w="6920" w:type="dxa"/>
        <w:tblLook w:val="0420" w:firstRow="1" w:lastRow="0" w:firstColumn="0" w:lastColumn="0" w:noHBand="0" w:noVBand="1"/>
      </w:tblPr>
      <w:tblGrid>
        <w:gridCol w:w="2150"/>
        <w:gridCol w:w="1260"/>
        <w:gridCol w:w="2160"/>
        <w:gridCol w:w="1350"/>
      </w:tblGrid>
      <w:tr w:rsidR="00356809" w:rsidRPr="000371E9" w:rsidTr="000371E9">
        <w:trPr>
          <w:cnfStyle w:val="100000000000" w:firstRow="1" w:lastRow="0" w:firstColumn="0" w:lastColumn="0" w:oddVBand="0" w:evenVBand="0" w:oddHBand="0" w:evenHBand="0" w:firstRowFirstColumn="0" w:firstRowLastColumn="0" w:lastRowFirstColumn="0" w:lastRowLastColumn="0"/>
          <w:trHeight w:val="358"/>
        </w:trPr>
        <w:tc>
          <w:tcPr>
            <w:tcW w:w="2150" w:type="dxa"/>
            <w:hideMark/>
          </w:tcPr>
          <w:p w:rsidR="00356809" w:rsidRPr="000371E9" w:rsidRDefault="00356809" w:rsidP="00356809">
            <w:pPr>
              <w:spacing w:after="0" w:line="240" w:lineRule="auto"/>
              <w:jc w:val="left"/>
              <w:rPr>
                <w:rFonts w:ascii="Arial" w:eastAsia="Calibri" w:hAnsi="Arial" w:cs="Arial"/>
                <w:b w:val="0"/>
                <w:szCs w:val="24"/>
              </w:rPr>
            </w:pPr>
            <w:r w:rsidRPr="000371E9">
              <w:rPr>
                <w:rFonts w:ascii="Calibri" w:eastAsia="Calibri" w:hAnsi="Calibri" w:cs="Arial"/>
                <w:b w:val="0"/>
                <w:bCs w:val="0"/>
                <w:color w:val="FFFFFF"/>
                <w:kern w:val="24"/>
                <w:szCs w:val="24"/>
              </w:rPr>
              <w:t>Under 5</w:t>
            </w:r>
          </w:p>
        </w:tc>
        <w:tc>
          <w:tcPr>
            <w:tcW w:w="1260" w:type="dxa"/>
            <w:hideMark/>
          </w:tcPr>
          <w:p w:rsidR="00356809" w:rsidRPr="000371E9" w:rsidRDefault="00356809" w:rsidP="00356809">
            <w:pPr>
              <w:spacing w:after="0" w:line="240" w:lineRule="auto"/>
              <w:jc w:val="left"/>
              <w:rPr>
                <w:rFonts w:ascii="Arial" w:eastAsia="Calibri" w:hAnsi="Arial" w:cs="Arial"/>
                <w:b w:val="0"/>
                <w:szCs w:val="24"/>
              </w:rPr>
            </w:pPr>
            <w:r w:rsidRPr="000371E9">
              <w:rPr>
                <w:rFonts w:ascii="Calibri" w:eastAsia="Calibri" w:hAnsi="Calibri" w:cs="Arial"/>
                <w:b w:val="0"/>
                <w:bCs w:val="0"/>
                <w:color w:val="FFFFFF"/>
                <w:kern w:val="24"/>
                <w:szCs w:val="24"/>
              </w:rPr>
              <w:t>%</w:t>
            </w:r>
          </w:p>
        </w:tc>
        <w:tc>
          <w:tcPr>
            <w:tcW w:w="2160" w:type="dxa"/>
            <w:hideMark/>
          </w:tcPr>
          <w:p w:rsidR="00356809" w:rsidRPr="000371E9" w:rsidRDefault="00356809" w:rsidP="00356809">
            <w:pPr>
              <w:spacing w:after="0" w:line="240" w:lineRule="auto"/>
              <w:jc w:val="left"/>
              <w:rPr>
                <w:rFonts w:ascii="Arial" w:eastAsia="Calibri" w:hAnsi="Arial" w:cs="Arial"/>
                <w:b w:val="0"/>
                <w:szCs w:val="24"/>
              </w:rPr>
            </w:pPr>
            <w:r w:rsidRPr="000371E9">
              <w:rPr>
                <w:rFonts w:ascii="Calibri" w:eastAsia="Calibri" w:hAnsi="Calibri" w:cs="Arial"/>
                <w:b w:val="0"/>
                <w:bCs w:val="0"/>
                <w:color w:val="FFFFFF"/>
                <w:kern w:val="24"/>
                <w:szCs w:val="24"/>
              </w:rPr>
              <w:t>Above 5</w:t>
            </w:r>
          </w:p>
        </w:tc>
        <w:tc>
          <w:tcPr>
            <w:tcW w:w="1350" w:type="dxa"/>
            <w:hideMark/>
          </w:tcPr>
          <w:p w:rsidR="00356809" w:rsidRPr="000371E9" w:rsidRDefault="00356809" w:rsidP="00356809">
            <w:pPr>
              <w:spacing w:after="0" w:line="240" w:lineRule="auto"/>
              <w:jc w:val="left"/>
              <w:rPr>
                <w:rFonts w:ascii="Arial" w:eastAsia="Calibri" w:hAnsi="Arial" w:cs="Arial"/>
                <w:b w:val="0"/>
                <w:szCs w:val="24"/>
              </w:rPr>
            </w:pPr>
            <w:r w:rsidRPr="000371E9">
              <w:rPr>
                <w:rFonts w:ascii="Calibri" w:eastAsia="Calibri" w:hAnsi="Calibri" w:cs="Arial"/>
                <w:b w:val="0"/>
                <w:bCs w:val="0"/>
                <w:color w:val="FFFFFF"/>
                <w:kern w:val="24"/>
                <w:szCs w:val="24"/>
              </w:rPr>
              <w:t>%</w:t>
            </w:r>
          </w:p>
        </w:tc>
      </w:tr>
      <w:tr w:rsidR="00356809" w:rsidRPr="000371E9" w:rsidTr="000371E9">
        <w:trPr>
          <w:cnfStyle w:val="000000100000" w:firstRow="0" w:lastRow="0" w:firstColumn="0" w:lastColumn="0" w:oddVBand="0" w:evenVBand="0" w:oddHBand="1" w:evenHBand="0" w:firstRowFirstColumn="0" w:firstRowLastColumn="0" w:lastRowFirstColumn="0" w:lastRowLastColumn="0"/>
          <w:trHeight w:val="390"/>
        </w:trPr>
        <w:tc>
          <w:tcPr>
            <w:tcW w:w="2150" w:type="dxa"/>
            <w:hideMark/>
          </w:tcPr>
          <w:p w:rsidR="00356809" w:rsidRPr="000371E9" w:rsidRDefault="00356809" w:rsidP="00356809">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Colds</w:t>
            </w:r>
          </w:p>
        </w:tc>
        <w:tc>
          <w:tcPr>
            <w:tcW w:w="1260" w:type="dxa"/>
            <w:hideMark/>
          </w:tcPr>
          <w:p w:rsidR="00356809" w:rsidRPr="000371E9" w:rsidRDefault="00CE13FB" w:rsidP="00356809">
            <w:pPr>
              <w:spacing w:after="0" w:line="240" w:lineRule="auto"/>
              <w:jc w:val="left"/>
              <w:rPr>
                <w:rFonts w:ascii="Arial" w:eastAsia="Calibri" w:hAnsi="Arial" w:cs="Arial"/>
                <w:szCs w:val="24"/>
              </w:rPr>
            </w:pPr>
            <w:r>
              <w:rPr>
                <w:rFonts w:ascii="Calibri" w:eastAsia="Calibri" w:hAnsi="Calibri" w:cs="Arial"/>
                <w:color w:val="000000"/>
                <w:kern w:val="24"/>
                <w:szCs w:val="24"/>
              </w:rPr>
              <w:t>35</w:t>
            </w:r>
            <w:r w:rsidR="00356809" w:rsidRPr="000371E9">
              <w:rPr>
                <w:rFonts w:ascii="Calibri" w:eastAsia="Calibri" w:hAnsi="Calibri" w:cs="Arial"/>
                <w:color w:val="000000"/>
                <w:kern w:val="24"/>
                <w:szCs w:val="24"/>
              </w:rPr>
              <w:t>%</w:t>
            </w:r>
          </w:p>
        </w:tc>
        <w:tc>
          <w:tcPr>
            <w:tcW w:w="2160" w:type="dxa"/>
            <w:hideMark/>
          </w:tcPr>
          <w:p w:rsidR="00356809" w:rsidRPr="000371E9" w:rsidRDefault="00356809" w:rsidP="00356809">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Colds</w:t>
            </w:r>
          </w:p>
        </w:tc>
        <w:tc>
          <w:tcPr>
            <w:tcW w:w="1350" w:type="dxa"/>
            <w:hideMark/>
          </w:tcPr>
          <w:p w:rsidR="00356809" w:rsidRPr="000371E9" w:rsidRDefault="00007515" w:rsidP="00356809">
            <w:pPr>
              <w:spacing w:after="0" w:line="240" w:lineRule="auto"/>
              <w:jc w:val="left"/>
              <w:rPr>
                <w:rFonts w:ascii="Arial" w:eastAsia="Calibri" w:hAnsi="Arial" w:cs="Arial"/>
                <w:szCs w:val="24"/>
              </w:rPr>
            </w:pPr>
            <w:r>
              <w:rPr>
                <w:rFonts w:ascii="Calibri" w:eastAsia="Calibri" w:hAnsi="Calibri" w:cs="Arial"/>
                <w:color w:val="000000"/>
                <w:kern w:val="24"/>
                <w:szCs w:val="24"/>
              </w:rPr>
              <w:t>33</w:t>
            </w:r>
            <w:r w:rsidR="00356809" w:rsidRPr="000371E9">
              <w:rPr>
                <w:rFonts w:ascii="Calibri" w:eastAsia="Calibri" w:hAnsi="Calibri" w:cs="Arial"/>
                <w:color w:val="000000"/>
                <w:kern w:val="24"/>
                <w:szCs w:val="24"/>
              </w:rPr>
              <w:t>%</w:t>
            </w:r>
          </w:p>
        </w:tc>
      </w:tr>
      <w:tr w:rsidR="00356809" w:rsidRPr="000371E9" w:rsidTr="000371E9">
        <w:trPr>
          <w:trHeight w:val="385"/>
        </w:trPr>
        <w:tc>
          <w:tcPr>
            <w:tcW w:w="2150" w:type="dxa"/>
            <w:hideMark/>
          </w:tcPr>
          <w:p w:rsidR="00356809" w:rsidRPr="000371E9" w:rsidRDefault="00356809" w:rsidP="00356809">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 xml:space="preserve">Malaria </w:t>
            </w:r>
          </w:p>
        </w:tc>
        <w:tc>
          <w:tcPr>
            <w:tcW w:w="1260" w:type="dxa"/>
            <w:hideMark/>
          </w:tcPr>
          <w:p w:rsidR="00356809" w:rsidRPr="000371E9" w:rsidRDefault="00CE13FB" w:rsidP="00356809">
            <w:pPr>
              <w:spacing w:after="0" w:line="240" w:lineRule="auto"/>
              <w:jc w:val="left"/>
              <w:rPr>
                <w:rFonts w:ascii="Arial" w:eastAsia="Calibri" w:hAnsi="Arial" w:cs="Arial"/>
                <w:szCs w:val="24"/>
              </w:rPr>
            </w:pPr>
            <w:r>
              <w:rPr>
                <w:rFonts w:ascii="Calibri" w:eastAsia="Calibri" w:hAnsi="Calibri" w:cs="Arial"/>
                <w:color w:val="000000"/>
                <w:kern w:val="24"/>
                <w:szCs w:val="24"/>
              </w:rPr>
              <w:t>32</w:t>
            </w:r>
            <w:r w:rsidR="00356809" w:rsidRPr="000371E9">
              <w:rPr>
                <w:rFonts w:ascii="Calibri" w:eastAsia="Calibri" w:hAnsi="Calibri" w:cs="Arial"/>
                <w:color w:val="000000"/>
                <w:kern w:val="24"/>
                <w:szCs w:val="24"/>
              </w:rPr>
              <w:t>%</w:t>
            </w:r>
          </w:p>
        </w:tc>
        <w:tc>
          <w:tcPr>
            <w:tcW w:w="2160" w:type="dxa"/>
            <w:hideMark/>
          </w:tcPr>
          <w:p w:rsidR="00356809" w:rsidRPr="000371E9" w:rsidRDefault="00356809" w:rsidP="00356809">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Malaria</w:t>
            </w:r>
          </w:p>
        </w:tc>
        <w:tc>
          <w:tcPr>
            <w:tcW w:w="1350" w:type="dxa"/>
            <w:hideMark/>
          </w:tcPr>
          <w:p w:rsidR="00356809" w:rsidRPr="000371E9" w:rsidRDefault="00007515" w:rsidP="00356809">
            <w:pPr>
              <w:spacing w:after="0" w:line="240" w:lineRule="auto"/>
              <w:jc w:val="left"/>
              <w:rPr>
                <w:rFonts w:ascii="Arial" w:eastAsia="Calibri" w:hAnsi="Arial" w:cs="Arial"/>
                <w:szCs w:val="24"/>
              </w:rPr>
            </w:pPr>
            <w:r>
              <w:rPr>
                <w:rFonts w:ascii="Calibri" w:eastAsia="Calibri" w:hAnsi="Calibri" w:cs="Arial"/>
                <w:color w:val="000000"/>
                <w:kern w:val="24"/>
                <w:szCs w:val="24"/>
              </w:rPr>
              <w:t>32</w:t>
            </w:r>
            <w:r w:rsidR="00356809" w:rsidRPr="000371E9">
              <w:rPr>
                <w:rFonts w:ascii="Calibri" w:eastAsia="Calibri" w:hAnsi="Calibri" w:cs="Arial"/>
                <w:color w:val="000000"/>
                <w:kern w:val="24"/>
                <w:szCs w:val="24"/>
              </w:rPr>
              <w:t>%</w:t>
            </w:r>
          </w:p>
        </w:tc>
      </w:tr>
      <w:tr w:rsidR="00356809" w:rsidRPr="000371E9" w:rsidTr="000371E9">
        <w:trPr>
          <w:cnfStyle w:val="000000100000" w:firstRow="0" w:lastRow="0" w:firstColumn="0" w:lastColumn="0" w:oddVBand="0" w:evenVBand="0" w:oddHBand="1" w:evenHBand="0" w:firstRowFirstColumn="0" w:firstRowLastColumn="0" w:lastRowFirstColumn="0" w:lastRowLastColumn="0"/>
          <w:trHeight w:val="458"/>
        </w:trPr>
        <w:tc>
          <w:tcPr>
            <w:tcW w:w="2150" w:type="dxa"/>
            <w:hideMark/>
          </w:tcPr>
          <w:p w:rsidR="00356809" w:rsidRPr="000371E9" w:rsidRDefault="00356809" w:rsidP="00356809">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Diarrhea acute</w:t>
            </w:r>
          </w:p>
        </w:tc>
        <w:tc>
          <w:tcPr>
            <w:tcW w:w="1260" w:type="dxa"/>
            <w:hideMark/>
          </w:tcPr>
          <w:p w:rsidR="00356809" w:rsidRPr="000371E9" w:rsidRDefault="00356809" w:rsidP="00356809">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10%</w:t>
            </w:r>
          </w:p>
        </w:tc>
        <w:tc>
          <w:tcPr>
            <w:tcW w:w="2160" w:type="dxa"/>
            <w:hideMark/>
          </w:tcPr>
          <w:p w:rsidR="00356809" w:rsidRPr="000371E9" w:rsidRDefault="00356809" w:rsidP="00356809">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UTI</w:t>
            </w:r>
          </w:p>
        </w:tc>
        <w:tc>
          <w:tcPr>
            <w:tcW w:w="1350" w:type="dxa"/>
            <w:hideMark/>
          </w:tcPr>
          <w:p w:rsidR="00356809" w:rsidRPr="000371E9" w:rsidRDefault="00356809" w:rsidP="00356809">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8%</w:t>
            </w:r>
          </w:p>
        </w:tc>
      </w:tr>
      <w:tr w:rsidR="00356809" w:rsidRPr="000371E9" w:rsidTr="000371E9">
        <w:trPr>
          <w:trHeight w:val="457"/>
        </w:trPr>
        <w:tc>
          <w:tcPr>
            <w:tcW w:w="2150" w:type="dxa"/>
            <w:hideMark/>
          </w:tcPr>
          <w:p w:rsidR="00356809" w:rsidRPr="000371E9" w:rsidRDefault="00356809" w:rsidP="00356809">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Intestinal worms</w:t>
            </w:r>
          </w:p>
        </w:tc>
        <w:tc>
          <w:tcPr>
            <w:tcW w:w="1260" w:type="dxa"/>
            <w:hideMark/>
          </w:tcPr>
          <w:p w:rsidR="00356809" w:rsidRPr="000371E9" w:rsidRDefault="00356809" w:rsidP="00356809">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7%</w:t>
            </w:r>
          </w:p>
        </w:tc>
        <w:tc>
          <w:tcPr>
            <w:tcW w:w="2160" w:type="dxa"/>
            <w:hideMark/>
          </w:tcPr>
          <w:p w:rsidR="00356809" w:rsidRPr="000371E9" w:rsidRDefault="00356809" w:rsidP="00356809">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Intestinal worms</w:t>
            </w:r>
          </w:p>
        </w:tc>
        <w:tc>
          <w:tcPr>
            <w:tcW w:w="1350" w:type="dxa"/>
            <w:hideMark/>
          </w:tcPr>
          <w:p w:rsidR="00356809" w:rsidRPr="000371E9" w:rsidRDefault="00356809" w:rsidP="00356809">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6%</w:t>
            </w:r>
          </w:p>
        </w:tc>
      </w:tr>
      <w:tr w:rsidR="00356809" w:rsidRPr="000371E9" w:rsidTr="000371E9">
        <w:trPr>
          <w:cnfStyle w:val="000000100000" w:firstRow="0" w:lastRow="0" w:firstColumn="0" w:lastColumn="0" w:oddVBand="0" w:evenVBand="0" w:oddHBand="1" w:evenHBand="0" w:firstRowFirstColumn="0" w:firstRowLastColumn="0" w:lastRowFirstColumn="0" w:lastRowLastColumn="0"/>
          <w:trHeight w:val="421"/>
        </w:trPr>
        <w:tc>
          <w:tcPr>
            <w:tcW w:w="2150" w:type="dxa"/>
            <w:hideMark/>
          </w:tcPr>
          <w:p w:rsidR="00356809" w:rsidRPr="000371E9" w:rsidRDefault="00356809" w:rsidP="00294ECC">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Pneumonia</w:t>
            </w:r>
          </w:p>
        </w:tc>
        <w:tc>
          <w:tcPr>
            <w:tcW w:w="1260" w:type="dxa"/>
            <w:hideMark/>
          </w:tcPr>
          <w:p w:rsidR="00356809" w:rsidRPr="000371E9" w:rsidRDefault="00CE13FB" w:rsidP="00294ECC">
            <w:pPr>
              <w:spacing w:after="0" w:line="240" w:lineRule="auto"/>
              <w:jc w:val="left"/>
              <w:rPr>
                <w:rFonts w:ascii="Arial" w:eastAsia="Calibri" w:hAnsi="Arial" w:cs="Arial"/>
                <w:szCs w:val="24"/>
              </w:rPr>
            </w:pPr>
            <w:r>
              <w:rPr>
                <w:rFonts w:ascii="Calibri" w:eastAsia="Calibri" w:hAnsi="Calibri" w:cs="Arial"/>
                <w:color w:val="000000"/>
                <w:kern w:val="24"/>
                <w:szCs w:val="24"/>
              </w:rPr>
              <w:t>7</w:t>
            </w:r>
            <w:r w:rsidR="00356809" w:rsidRPr="000371E9">
              <w:rPr>
                <w:rFonts w:ascii="Calibri" w:eastAsia="Calibri" w:hAnsi="Calibri" w:cs="Arial"/>
                <w:color w:val="000000"/>
                <w:kern w:val="24"/>
                <w:szCs w:val="24"/>
              </w:rPr>
              <w:t>%</w:t>
            </w:r>
          </w:p>
        </w:tc>
        <w:tc>
          <w:tcPr>
            <w:tcW w:w="2160" w:type="dxa"/>
            <w:hideMark/>
          </w:tcPr>
          <w:p w:rsidR="00356809" w:rsidRPr="000371E9" w:rsidRDefault="00356809" w:rsidP="00294ECC">
            <w:pPr>
              <w:spacing w:after="0" w:line="240" w:lineRule="auto"/>
              <w:jc w:val="left"/>
              <w:rPr>
                <w:rFonts w:ascii="Arial" w:eastAsia="Calibri" w:hAnsi="Arial" w:cs="Arial"/>
                <w:szCs w:val="24"/>
              </w:rPr>
            </w:pPr>
            <w:r w:rsidRPr="000371E9">
              <w:rPr>
                <w:rFonts w:ascii="Calibri" w:eastAsia="Calibri" w:hAnsi="Calibri" w:cs="Arial"/>
                <w:color w:val="000000"/>
                <w:kern w:val="24"/>
                <w:szCs w:val="24"/>
              </w:rPr>
              <w:t>Skin diseases</w:t>
            </w:r>
          </w:p>
        </w:tc>
        <w:tc>
          <w:tcPr>
            <w:tcW w:w="1350" w:type="dxa"/>
            <w:hideMark/>
          </w:tcPr>
          <w:p w:rsidR="00356809" w:rsidRPr="000371E9" w:rsidRDefault="00007515" w:rsidP="00294ECC">
            <w:pPr>
              <w:spacing w:after="0" w:line="240" w:lineRule="auto"/>
              <w:jc w:val="left"/>
              <w:rPr>
                <w:rFonts w:ascii="Arial" w:eastAsia="Calibri" w:hAnsi="Arial" w:cs="Arial"/>
                <w:szCs w:val="24"/>
              </w:rPr>
            </w:pPr>
            <w:r>
              <w:rPr>
                <w:rFonts w:ascii="Calibri" w:eastAsia="Calibri" w:hAnsi="Calibri" w:cs="Arial"/>
                <w:color w:val="000000"/>
                <w:kern w:val="24"/>
                <w:szCs w:val="24"/>
              </w:rPr>
              <w:t>4</w:t>
            </w:r>
            <w:r w:rsidR="00356809" w:rsidRPr="000371E9">
              <w:rPr>
                <w:rFonts w:ascii="Calibri" w:eastAsia="Calibri" w:hAnsi="Calibri" w:cs="Arial"/>
                <w:color w:val="000000"/>
                <w:kern w:val="24"/>
                <w:szCs w:val="24"/>
              </w:rPr>
              <w:t>%</w:t>
            </w:r>
          </w:p>
        </w:tc>
      </w:tr>
    </w:tbl>
    <w:p w:rsidR="00356809" w:rsidRDefault="00356809">
      <w:pPr>
        <w:rPr>
          <w:lang w:val="en-GB"/>
        </w:rPr>
      </w:pPr>
    </w:p>
    <w:p w:rsidR="00834CD6" w:rsidRDefault="00B95F73" w:rsidP="00D55465">
      <w:pPr>
        <w:pStyle w:val="Heading2"/>
        <w:rPr>
          <w:lang w:val="en-GB"/>
        </w:rPr>
      </w:pPr>
      <w:bookmarkStart w:id="4" w:name="_Toc53399900"/>
      <w:r>
        <w:rPr>
          <w:lang w:val="en-GB"/>
        </w:rPr>
        <w:t>Mortality</w:t>
      </w:r>
      <w:bookmarkEnd w:id="4"/>
    </w:p>
    <w:p w:rsidR="00356809" w:rsidRDefault="00D55465" w:rsidP="00D55465">
      <w:pPr>
        <w:rPr>
          <w:lang w:val="en-GB"/>
        </w:rPr>
      </w:pPr>
      <w:r>
        <w:rPr>
          <w:lang w:val="en-GB"/>
        </w:rPr>
        <w:t xml:space="preserve">The leading </w:t>
      </w:r>
      <w:r w:rsidR="001439D6">
        <w:rPr>
          <w:lang w:val="en-GB"/>
        </w:rPr>
        <w:t xml:space="preserve">cause of mortality in both categories was malaria contributing at least 50%. </w:t>
      </w:r>
    </w:p>
    <w:tbl>
      <w:tblPr>
        <w:tblStyle w:val="GridTable4-Accent41"/>
        <w:tblW w:w="7010" w:type="dxa"/>
        <w:tblLook w:val="0420" w:firstRow="1" w:lastRow="0" w:firstColumn="0" w:lastColumn="0" w:noHBand="0" w:noVBand="1"/>
      </w:tblPr>
      <w:tblGrid>
        <w:gridCol w:w="2060"/>
        <w:gridCol w:w="1260"/>
        <w:gridCol w:w="2435"/>
        <w:gridCol w:w="1255"/>
      </w:tblGrid>
      <w:tr w:rsidR="00356809" w:rsidRPr="009F2C57" w:rsidTr="000371E9">
        <w:trPr>
          <w:cnfStyle w:val="100000000000" w:firstRow="1" w:lastRow="0" w:firstColumn="0" w:lastColumn="0" w:oddVBand="0" w:evenVBand="0" w:oddHBand="0" w:evenHBand="0" w:firstRowFirstColumn="0" w:firstRowLastColumn="0" w:lastRowFirstColumn="0" w:lastRowLastColumn="0"/>
          <w:trHeight w:val="403"/>
        </w:trPr>
        <w:tc>
          <w:tcPr>
            <w:tcW w:w="2060" w:type="dxa"/>
            <w:hideMark/>
          </w:tcPr>
          <w:p w:rsidR="00356809" w:rsidRPr="009F2C57" w:rsidRDefault="00356809" w:rsidP="00356809">
            <w:pPr>
              <w:spacing w:after="0" w:line="240" w:lineRule="auto"/>
              <w:jc w:val="left"/>
              <w:rPr>
                <w:rFonts w:ascii="Arial" w:eastAsia="Calibri" w:hAnsi="Arial" w:cs="Arial"/>
                <w:szCs w:val="24"/>
              </w:rPr>
            </w:pPr>
            <w:r w:rsidRPr="009F2C57">
              <w:rPr>
                <w:rFonts w:ascii="Calibri" w:eastAsia="Calibri" w:hAnsi="Calibri" w:cs="Arial"/>
                <w:b w:val="0"/>
                <w:bCs w:val="0"/>
                <w:color w:val="FFFFFF"/>
                <w:kern w:val="24"/>
                <w:szCs w:val="24"/>
              </w:rPr>
              <w:t>Under 5</w:t>
            </w:r>
          </w:p>
        </w:tc>
        <w:tc>
          <w:tcPr>
            <w:tcW w:w="1260" w:type="dxa"/>
            <w:hideMark/>
          </w:tcPr>
          <w:p w:rsidR="00356809" w:rsidRPr="009F2C57" w:rsidRDefault="00356809" w:rsidP="00356809">
            <w:pPr>
              <w:spacing w:after="0" w:line="240" w:lineRule="auto"/>
              <w:jc w:val="left"/>
              <w:rPr>
                <w:rFonts w:ascii="Arial" w:eastAsia="Calibri" w:hAnsi="Arial" w:cs="Arial"/>
                <w:szCs w:val="24"/>
              </w:rPr>
            </w:pPr>
            <w:r w:rsidRPr="009F2C57">
              <w:rPr>
                <w:rFonts w:ascii="Calibri" w:eastAsia="Calibri" w:hAnsi="Calibri" w:cs="Arial"/>
                <w:b w:val="0"/>
                <w:bCs w:val="0"/>
                <w:color w:val="FFFFFF"/>
                <w:kern w:val="24"/>
                <w:szCs w:val="24"/>
              </w:rPr>
              <w:t>%</w:t>
            </w:r>
          </w:p>
        </w:tc>
        <w:tc>
          <w:tcPr>
            <w:tcW w:w="2435" w:type="dxa"/>
            <w:hideMark/>
          </w:tcPr>
          <w:p w:rsidR="00356809" w:rsidRPr="009F2C57" w:rsidRDefault="00356809" w:rsidP="00356809">
            <w:pPr>
              <w:spacing w:after="0" w:line="240" w:lineRule="auto"/>
              <w:jc w:val="left"/>
              <w:rPr>
                <w:rFonts w:ascii="Arial" w:eastAsia="Calibri" w:hAnsi="Arial" w:cs="Arial"/>
                <w:szCs w:val="24"/>
              </w:rPr>
            </w:pPr>
            <w:r w:rsidRPr="009F2C57">
              <w:rPr>
                <w:rFonts w:ascii="Calibri" w:eastAsia="Calibri" w:hAnsi="Calibri" w:cs="Arial"/>
                <w:b w:val="0"/>
                <w:bCs w:val="0"/>
                <w:color w:val="FFFFFF"/>
                <w:kern w:val="24"/>
                <w:szCs w:val="24"/>
              </w:rPr>
              <w:t>Above 5</w:t>
            </w:r>
          </w:p>
        </w:tc>
        <w:tc>
          <w:tcPr>
            <w:tcW w:w="1255" w:type="dxa"/>
            <w:hideMark/>
          </w:tcPr>
          <w:p w:rsidR="00356809" w:rsidRPr="009F2C57" w:rsidRDefault="00356809" w:rsidP="00356809">
            <w:pPr>
              <w:spacing w:after="0" w:line="240" w:lineRule="auto"/>
              <w:jc w:val="left"/>
              <w:rPr>
                <w:rFonts w:ascii="Arial" w:eastAsia="Calibri" w:hAnsi="Arial" w:cs="Arial"/>
                <w:szCs w:val="24"/>
              </w:rPr>
            </w:pPr>
            <w:r w:rsidRPr="009F2C57">
              <w:rPr>
                <w:rFonts w:ascii="Calibri" w:eastAsia="Calibri" w:hAnsi="Calibri" w:cs="Arial"/>
                <w:b w:val="0"/>
                <w:bCs w:val="0"/>
                <w:color w:val="FFFFFF"/>
                <w:kern w:val="24"/>
                <w:szCs w:val="24"/>
              </w:rPr>
              <w:t>%</w:t>
            </w:r>
          </w:p>
        </w:tc>
      </w:tr>
      <w:tr w:rsidR="00356809" w:rsidRPr="009F2C57" w:rsidTr="000371E9">
        <w:trPr>
          <w:cnfStyle w:val="000000100000" w:firstRow="0" w:lastRow="0" w:firstColumn="0" w:lastColumn="0" w:oddVBand="0" w:evenVBand="0" w:oddHBand="1" w:evenHBand="0" w:firstRowFirstColumn="0" w:firstRowLastColumn="0" w:lastRowFirstColumn="0" w:lastRowLastColumn="0"/>
          <w:trHeight w:val="444"/>
        </w:trPr>
        <w:tc>
          <w:tcPr>
            <w:tcW w:w="2060" w:type="dxa"/>
            <w:hideMark/>
          </w:tcPr>
          <w:p w:rsidR="00356809" w:rsidRPr="009F2C57" w:rsidRDefault="001161AB" w:rsidP="00356809">
            <w:pPr>
              <w:spacing w:after="0" w:line="240" w:lineRule="auto"/>
              <w:jc w:val="left"/>
              <w:rPr>
                <w:rFonts w:ascii="Arial" w:eastAsia="Calibri" w:hAnsi="Arial" w:cs="Arial"/>
                <w:szCs w:val="24"/>
              </w:rPr>
            </w:pPr>
            <w:r>
              <w:rPr>
                <w:rFonts w:ascii="Calibri" w:eastAsia="Calibri" w:hAnsi="Calibri" w:cs="Arial"/>
                <w:color w:val="000000"/>
                <w:kern w:val="24"/>
                <w:szCs w:val="24"/>
              </w:rPr>
              <w:t>Malaria</w:t>
            </w:r>
          </w:p>
        </w:tc>
        <w:tc>
          <w:tcPr>
            <w:tcW w:w="1260" w:type="dxa"/>
            <w:hideMark/>
          </w:tcPr>
          <w:p w:rsidR="00356809" w:rsidRPr="009F2C57" w:rsidRDefault="001161AB" w:rsidP="00356809">
            <w:pPr>
              <w:spacing w:after="0" w:line="240" w:lineRule="auto"/>
              <w:jc w:val="left"/>
              <w:rPr>
                <w:rFonts w:ascii="Arial" w:eastAsia="Calibri" w:hAnsi="Arial" w:cs="Arial"/>
                <w:szCs w:val="24"/>
              </w:rPr>
            </w:pPr>
            <w:r>
              <w:rPr>
                <w:rFonts w:ascii="Calibri" w:eastAsia="Calibri" w:hAnsi="Calibri" w:cs="Arial"/>
                <w:color w:val="000000"/>
                <w:kern w:val="24"/>
                <w:szCs w:val="24"/>
              </w:rPr>
              <w:t>50</w:t>
            </w:r>
            <w:r w:rsidR="00356809" w:rsidRPr="009F2C57">
              <w:rPr>
                <w:rFonts w:ascii="Calibri" w:eastAsia="Calibri" w:hAnsi="Calibri" w:cs="Arial"/>
                <w:color w:val="000000"/>
                <w:kern w:val="24"/>
                <w:szCs w:val="24"/>
              </w:rPr>
              <w:t>%</w:t>
            </w:r>
          </w:p>
        </w:tc>
        <w:tc>
          <w:tcPr>
            <w:tcW w:w="2435" w:type="dxa"/>
            <w:hideMark/>
          </w:tcPr>
          <w:p w:rsidR="00356809" w:rsidRPr="009F2C57" w:rsidRDefault="001161AB" w:rsidP="00356809">
            <w:pPr>
              <w:spacing w:after="0" w:line="240" w:lineRule="auto"/>
              <w:jc w:val="left"/>
              <w:rPr>
                <w:rFonts w:ascii="Arial" w:eastAsia="Calibri" w:hAnsi="Arial" w:cs="Arial"/>
                <w:szCs w:val="24"/>
              </w:rPr>
            </w:pPr>
            <w:r>
              <w:rPr>
                <w:rFonts w:ascii="Calibri" w:eastAsia="Calibri" w:hAnsi="Calibri" w:cs="Arial"/>
                <w:color w:val="000000"/>
                <w:kern w:val="24"/>
                <w:szCs w:val="24"/>
              </w:rPr>
              <w:t>Malaria</w:t>
            </w:r>
          </w:p>
        </w:tc>
        <w:tc>
          <w:tcPr>
            <w:tcW w:w="1255" w:type="dxa"/>
            <w:hideMark/>
          </w:tcPr>
          <w:p w:rsidR="00356809" w:rsidRPr="009F2C57" w:rsidRDefault="001161AB" w:rsidP="00356809">
            <w:pPr>
              <w:spacing w:after="0" w:line="240" w:lineRule="auto"/>
              <w:jc w:val="left"/>
              <w:rPr>
                <w:rFonts w:ascii="Arial" w:eastAsia="Calibri" w:hAnsi="Arial" w:cs="Arial"/>
                <w:szCs w:val="24"/>
              </w:rPr>
            </w:pPr>
            <w:r>
              <w:rPr>
                <w:rFonts w:ascii="Calibri" w:eastAsia="Calibri" w:hAnsi="Calibri" w:cs="Arial"/>
                <w:color w:val="000000"/>
                <w:kern w:val="24"/>
                <w:szCs w:val="24"/>
              </w:rPr>
              <w:t>57</w:t>
            </w:r>
            <w:r w:rsidR="00356809" w:rsidRPr="009F2C57">
              <w:rPr>
                <w:rFonts w:ascii="Calibri" w:eastAsia="Calibri" w:hAnsi="Calibri" w:cs="Arial"/>
                <w:color w:val="000000"/>
                <w:kern w:val="24"/>
                <w:szCs w:val="24"/>
              </w:rPr>
              <w:t>%</w:t>
            </w:r>
          </w:p>
        </w:tc>
      </w:tr>
      <w:tr w:rsidR="00356809" w:rsidRPr="009F2C57" w:rsidTr="000371E9">
        <w:trPr>
          <w:trHeight w:val="547"/>
        </w:trPr>
        <w:tc>
          <w:tcPr>
            <w:tcW w:w="2060" w:type="dxa"/>
            <w:hideMark/>
          </w:tcPr>
          <w:p w:rsidR="00356809" w:rsidRPr="009F2C57" w:rsidRDefault="00356809" w:rsidP="00356809">
            <w:pPr>
              <w:spacing w:after="0" w:line="240" w:lineRule="auto"/>
              <w:jc w:val="left"/>
              <w:rPr>
                <w:rFonts w:ascii="Arial" w:eastAsia="Calibri" w:hAnsi="Arial" w:cs="Arial"/>
                <w:szCs w:val="24"/>
              </w:rPr>
            </w:pPr>
            <w:r w:rsidRPr="009F2C57">
              <w:rPr>
                <w:rFonts w:ascii="Calibri" w:eastAsia="Calibri" w:hAnsi="Calibri" w:cs="Arial"/>
                <w:color w:val="000000"/>
                <w:kern w:val="24"/>
                <w:szCs w:val="24"/>
              </w:rPr>
              <w:t>Pneumonia</w:t>
            </w:r>
          </w:p>
        </w:tc>
        <w:tc>
          <w:tcPr>
            <w:tcW w:w="1260" w:type="dxa"/>
            <w:hideMark/>
          </w:tcPr>
          <w:p w:rsidR="00356809" w:rsidRPr="009F2C57" w:rsidRDefault="00356809" w:rsidP="00356809">
            <w:pPr>
              <w:spacing w:after="0" w:line="240" w:lineRule="auto"/>
              <w:jc w:val="left"/>
              <w:rPr>
                <w:rFonts w:ascii="Arial" w:eastAsia="Calibri" w:hAnsi="Arial" w:cs="Arial"/>
                <w:szCs w:val="24"/>
              </w:rPr>
            </w:pPr>
            <w:r w:rsidRPr="009F2C57">
              <w:rPr>
                <w:rFonts w:ascii="Calibri" w:eastAsia="Calibri" w:hAnsi="Calibri" w:cs="Arial"/>
                <w:color w:val="000000"/>
                <w:kern w:val="24"/>
                <w:szCs w:val="24"/>
              </w:rPr>
              <w:t>17%</w:t>
            </w:r>
          </w:p>
        </w:tc>
        <w:tc>
          <w:tcPr>
            <w:tcW w:w="2435" w:type="dxa"/>
            <w:hideMark/>
          </w:tcPr>
          <w:p w:rsidR="00356809" w:rsidRPr="009F2C57" w:rsidRDefault="001161AB" w:rsidP="00356809">
            <w:pPr>
              <w:spacing w:after="0" w:line="240" w:lineRule="auto"/>
              <w:jc w:val="left"/>
              <w:rPr>
                <w:rFonts w:ascii="Arial" w:eastAsia="Calibri" w:hAnsi="Arial" w:cs="Arial"/>
                <w:szCs w:val="24"/>
              </w:rPr>
            </w:pPr>
            <w:r>
              <w:rPr>
                <w:rFonts w:ascii="Calibri" w:eastAsia="Calibri" w:hAnsi="Calibri" w:cs="Arial"/>
                <w:color w:val="000000"/>
                <w:kern w:val="24"/>
                <w:szCs w:val="24"/>
              </w:rPr>
              <w:t>Urinary Tract Infections</w:t>
            </w:r>
          </w:p>
        </w:tc>
        <w:tc>
          <w:tcPr>
            <w:tcW w:w="1255" w:type="dxa"/>
            <w:hideMark/>
          </w:tcPr>
          <w:p w:rsidR="00356809" w:rsidRPr="009F2C57" w:rsidRDefault="001161AB" w:rsidP="00356809">
            <w:pPr>
              <w:spacing w:after="0" w:line="240" w:lineRule="auto"/>
              <w:jc w:val="left"/>
              <w:rPr>
                <w:rFonts w:ascii="Arial" w:eastAsia="Calibri" w:hAnsi="Arial" w:cs="Arial"/>
                <w:szCs w:val="24"/>
              </w:rPr>
            </w:pPr>
            <w:r>
              <w:rPr>
                <w:rFonts w:ascii="Calibri" w:eastAsia="Calibri" w:hAnsi="Calibri" w:cs="Arial"/>
                <w:color w:val="000000"/>
                <w:kern w:val="24"/>
                <w:szCs w:val="24"/>
              </w:rPr>
              <w:t>9</w:t>
            </w:r>
            <w:r w:rsidR="00356809" w:rsidRPr="009F2C57">
              <w:rPr>
                <w:rFonts w:ascii="Calibri" w:eastAsia="Calibri" w:hAnsi="Calibri" w:cs="Arial"/>
                <w:color w:val="000000"/>
                <w:kern w:val="24"/>
                <w:szCs w:val="24"/>
              </w:rPr>
              <w:t>%</w:t>
            </w:r>
          </w:p>
        </w:tc>
      </w:tr>
      <w:tr w:rsidR="00D55465" w:rsidRPr="009F2C57" w:rsidTr="000371E9">
        <w:trPr>
          <w:cnfStyle w:val="000000100000" w:firstRow="0" w:lastRow="0" w:firstColumn="0" w:lastColumn="0" w:oddVBand="0" w:evenVBand="0" w:oddHBand="1" w:evenHBand="0" w:firstRowFirstColumn="0" w:firstRowLastColumn="0" w:lastRowFirstColumn="0" w:lastRowLastColumn="0"/>
          <w:trHeight w:val="412"/>
        </w:trPr>
        <w:tc>
          <w:tcPr>
            <w:tcW w:w="2060" w:type="dxa"/>
            <w:hideMark/>
          </w:tcPr>
          <w:p w:rsidR="00356809" w:rsidRPr="009F2C57" w:rsidRDefault="00356809" w:rsidP="00356809">
            <w:pPr>
              <w:spacing w:after="0" w:line="240" w:lineRule="auto"/>
              <w:jc w:val="left"/>
              <w:rPr>
                <w:rFonts w:ascii="Arial" w:eastAsia="Calibri" w:hAnsi="Arial" w:cs="Arial"/>
                <w:szCs w:val="24"/>
              </w:rPr>
            </w:pPr>
            <w:r w:rsidRPr="009F2C57">
              <w:rPr>
                <w:rFonts w:ascii="Calibri" w:eastAsia="Calibri" w:hAnsi="Calibri" w:cs="Arial"/>
                <w:color w:val="000000"/>
                <w:kern w:val="24"/>
                <w:szCs w:val="24"/>
              </w:rPr>
              <w:lastRenderedPageBreak/>
              <w:t>Acute diarrhea</w:t>
            </w:r>
          </w:p>
        </w:tc>
        <w:tc>
          <w:tcPr>
            <w:tcW w:w="1260" w:type="dxa"/>
            <w:hideMark/>
          </w:tcPr>
          <w:p w:rsidR="00356809" w:rsidRPr="009F2C57" w:rsidRDefault="001161AB" w:rsidP="00356809">
            <w:pPr>
              <w:spacing w:after="0" w:line="240" w:lineRule="auto"/>
              <w:jc w:val="left"/>
              <w:rPr>
                <w:rFonts w:ascii="Arial" w:eastAsia="Calibri" w:hAnsi="Arial" w:cs="Arial"/>
                <w:szCs w:val="24"/>
              </w:rPr>
            </w:pPr>
            <w:r>
              <w:rPr>
                <w:rFonts w:ascii="Calibri" w:eastAsia="Calibri" w:hAnsi="Calibri" w:cs="Arial"/>
                <w:color w:val="000000"/>
                <w:kern w:val="24"/>
                <w:szCs w:val="24"/>
              </w:rPr>
              <w:t>12</w:t>
            </w:r>
            <w:r w:rsidR="00356809" w:rsidRPr="009F2C57">
              <w:rPr>
                <w:rFonts w:ascii="Calibri" w:eastAsia="Calibri" w:hAnsi="Calibri" w:cs="Arial"/>
                <w:color w:val="000000"/>
                <w:kern w:val="24"/>
                <w:szCs w:val="24"/>
              </w:rPr>
              <w:t>%</w:t>
            </w:r>
          </w:p>
        </w:tc>
        <w:tc>
          <w:tcPr>
            <w:tcW w:w="2435" w:type="dxa"/>
            <w:hideMark/>
          </w:tcPr>
          <w:p w:rsidR="00356809" w:rsidRPr="009F2C57" w:rsidRDefault="001161AB" w:rsidP="00356809">
            <w:pPr>
              <w:spacing w:after="0" w:line="240" w:lineRule="auto"/>
              <w:jc w:val="left"/>
              <w:rPr>
                <w:rFonts w:ascii="Arial" w:eastAsia="Calibri" w:hAnsi="Arial" w:cs="Arial"/>
                <w:szCs w:val="24"/>
              </w:rPr>
            </w:pPr>
            <w:r>
              <w:rPr>
                <w:rFonts w:ascii="Calibri" w:eastAsia="Calibri" w:hAnsi="Calibri" w:cs="Arial"/>
                <w:color w:val="000000"/>
                <w:kern w:val="24"/>
                <w:szCs w:val="24"/>
              </w:rPr>
              <w:t>Respiratory infections</w:t>
            </w:r>
          </w:p>
        </w:tc>
        <w:tc>
          <w:tcPr>
            <w:tcW w:w="1255" w:type="dxa"/>
            <w:hideMark/>
          </w:tcPr>
          <w:p w:rsidR="00356809" w:rsidRPr="009F2C57" w:rsidRDefault="001161AB" w:rsidP="00294ECC">
            <w:pPr>
              <w:spacing w:after="0" w:line="240" w:lineRule="auto"/>
              <w:jc w:val="left"/>
              <w:rPr>
                <w:rFonts w:ascii="Arial" w:eastAsia="Calibri" w:hAnsi="Arial" w:cs="Arial"/>
                <w:szCs w:val="24"/>
              </w:rPr>
            </w:pPr>
            <w:r>
              <w:rPr>
                <w:rFonts w:ascii="Calibri" w:eastAsia="Calibri" w:hAnsi="Calibri" w:cs="Arial"/>
                <w:color w:val="000000"/>
                <w:kern w:val="24"/>
                <w:szCs w:val="24"/>
              </w:rPr>
              <w:t>8</w:t>
            </w:r>
            <w:r w:rsidR="00356809" w:rsidRPr="009F2C57">
              <w:rPr>
                <w:rFonts w:ascii="Calibri" w:eastAsia="Calibri" w:hAnsi="Calibri" w:cs="Arial"/>
                <w:color w:val="000000"/>
                <w:kern w:val="24"/>
                <w:szCs w:val="24"/>
              </w:rPr>
              <w:t>%</w:t>
            </w:r>
          </w:p>
        </w:tc>
      </w:tr>
      <w:tr w:rsidR="001161AB" w:rsidRPr="009F2C57" w:rsidTr="000371E9">
        <w:trPr>
          <w:trHeight w:val="412"/>
        </w:trPr>
        <w:tc>
          <w:tcPr>
            <w:tcW w:w="2060" w:type="dxa"/>
          </w:tcPr>
          <w:p w:rsidR="001161AB" w:rsidRPr="009F2C57" w:rsidRDefault="001161AB" w:rsidP="00356809">
            <w:pPr>
              <w:spacing w:after="0" w:line="240" w:lineRule="auto"/>
              <w:jc w:val="left"/>
              <w:rPr>
                <w:rFonts w:ascii="Calibri" w:eastAsia="Calibri" w:hAnsi="Calibri" w:cs="Arial"/>
                <w:color w:val="000000"/>
                <w:kern w:val="24"/>
                <w:szCs w:val="24"/>
              </w:rPr>
            </w:pPr>
            <w:r>
              <w:rPr>
                <w:rFonts w:ascii="Calibri" w:eastAsia="Calibri" w:hAnsi="Calibri" w:cs="Arial"/>
                <w:color w:val="000000"/>
                <w:kern w:val="24"/>
                <w:szCs w:val="24"/>
              </w:rPr>
              <w:t>Respiratory Infections</w:t>
            </w:r>
          </w:p>
        </w:tc>
        <w:tc>
          <w:tcPr>
            <w:tcW w:w="1260" w:type="dxa"/>
          </w:tcPr>
          <w:p w:rsidR="001161AB" w:rsidRDefault="001161AB" w:rsidP="00356809">
            <w:pPr>
              <w:spacing w:after="0" w:line="240" w:lineRule="auto"/>
              <w:jc w:val="left"/>
              <w:rPr>
                <w:rFonts w:ascii="Calibri" w:eastAsia="Calibri" w:hAnsi="Calibri" w:cs="Arial"/>
                <w:color w:val="000000"/>
                <w:kern w:val="24"/>
                <w:szCs w:val="24"/>
              </w:rPr>
            </w:pPr>
            <w:r>
              <w:rPr>
                <w:rFonts w:ascii="Calibri" w:eastAsia="Calibri" w:hAnsi="Calibri" w:cs="Arial"/>
                <w:color w:val="000000"/>
                <w:kern w:val="24"/>
                <w:szCs w:val="24"/>
              </w:rPr>
              <w:t>10%</w:t>
            </w:r>
          </w:p>
        </w:tc>
        <w:tc>
          <w:tcPr>
            <w:tcW w:w="2435" w:type="dxa"/>
          </w:tcPr>
          <w:p w:rsidR="001161AB" w:rsidRPr="009F2C57" w:rsidRDefault="001161AB" w:rsidP="00356809">
            <w:pPr>
              <w:spacing w:after="0" w:line="240" w:lineRule="auto"/>
              <w:jc w:val="left"/>
              <w:rPr>
                <w:rFonts w:ascii="Calibri" w:eastAsia="Calibri" w:hAnsi="Calibri" w:cs="Arial"/>
                <w:color w:val="000000"/>
                <w:kern w:val="24"/>
                <w:szCs w:val="24"/>
              </w:rPr>
            </w:pPr>
            <w:r>
              <w:rPr>
                <w:rFonts w:ascii="Calibri" w:eastAsia="Calibri" w:hAnsi="Calibri" w:cs="Arial"/>
                <w:color w:val="000000"/>
                <w:kern w:val="24"/>
                <w:szCs w:val="24"/>
              </w:rPr>
              <w:t>Pneumonia</w:t>
            </w:r>
          </w:p>
        </w:tc>
        <w:tc>
          <w:tcPr>
            <w:tcW w:w="1255" w:type="dxa"/>
          </w:tcPr>
          <w:p w:rsidR="001161AB" w:rsidRPr="009F2C57" w:rsidRDefault="001161AB" w:rsidP="00294ECC">
            <w:pPr>
              <w:spacing w:after="0" w:line="240" w:lineRule="auto"/>
              <w:jc w:val="left"/>
              <w:rPr>
                <w:rFonts w:ascii="Calibri" w:eastAsia="Calibri" w:hAnsi="Calibri" w:cs="Arial"/>
                <w:color w:val="000000"/>
                <w:kern w:val="24"/>
                <w:szCs w:val="24"/>
              </w:rPr>
            </w:pPr>
            <w:r>
              <w:rPr>
                <w:rFonts w:ascii="Calibri" w:eastAsia="Calibri" w:hAnsi="Calibri" w:cs="Arial"/>
                <w:color w:val="000000"/>
                <w:kern w:val="24"/>
                <w:szCs w:val="24"/>
              </w:rPr>
              <w:t>7%</w:t>
            </w:r>
          </w:p>
        </w:tc>
      </w:tr>
      <w:tr w:rsidR="00356809" w:rsidRPr="009F2C57" w:rsidTr="000371E9">
        <w:trPr>
          <w:cnfStyle w:val="000000100000" w:firstRow="0" w:lastRow="0" w:firstColumn="0" w:lastColumn="0" w:oddVBand="0" w:evenVBand="0" w:oddHBand="1" w:evenHBand="0" w:firstRowFirstColumn="0" w:firstRowLastColumn="0" w:lastRowFirstColumn="0" w:lastRowLastColumn="0"/>
          <w:trHeight w:val="699"/>
        </w:trPr>
        <w:tc>
          <w:tcPr>
            <w:tcW w:w="2060" w:type="dxa"/>
            <w:hideMark/>
          </w:tcPr>
          <w:p w:rsidR="00356809" w:rsidRPr="009F2C57" w:rsidRDefault="001161AB" w:rsidP="00294ECC">
            <w:pPr>
              <w:spacing w:after="0" w:line="240" w:lineRule="auto"/>
              <w:jc w:val="left"/>
              <w:rPr>
                <w:rFonts w:ascii="Arial" w:eastAsia="Calibri" w:hAnsi="Arial" w:cs="Arial"/>
                <w:szCs w:val="24"/>
              </w:rPr>
            </w:pPr>
            <w:r>
              <w:rPr>
                <w:rFonts w:ascii="Calibri" w:eastAsia="Calibri" w:hAnsi="Calibri" w:cs="Arial"/>
                <w:color w:val="000000"/>
                <w:kern w:val="24"/>
                <w:szCs w:val="24"/>
              </w:rPr>
              <w:t>Septicemia</w:t>
            </w:r>
          </w:p>
        </w:tc>
        <w:tc>
          <w:tcPr>
            <w:tcW w:w="1260" w:type="dxa"/>
            <w:hideMark/>
          </w:tcPr>
          <w:p w:rsidR="00356809" w:rsidRPr="009F2C57" w:rsidRDefault="001161AB" w:rsidP="00294ECC">
            <w:pPr>
              <w:spacing w:after="0" w:line="240" w:lineRule="auto"/>
              <w:jc w:val="left"/>
              <w:rPr>
                <w:rFonts w:ascii="Arial" w:eastAsia="Calibri" w:hAnsi="Arial" w:cs="Arial"/>
                <w:szCs w:val="24"/>
              </w:rPr>
            </w:pPr>
            <w:r>
              <w:rPr>
                <w:rFonts w:ascii="Calibri" w:eastAsia="Calibri" w:hAnsi="Calibri" w:cs="Arial"/>
                <w:color w:val="000000"/>
                <w:kern w:val="24"/>
                <w:szCs w:val="24"/>
              </w:rPr>
              <w:t>9</w:t>
            </w:r>
            <w:r w:rsidR="00356809" w:rsidRPr="009F2C57">
              <w:rPr>
                <w:rFonts w:ascii="Calibri" w:eastAsia="Calibri" w:hAnsi="Calibri" w:cs="Arial"/>
                <w:color w:val="000000"/>
                <w:kern w:val="24"/>
                <w:szCs w:val="24"/>
              </w:rPr>
              <w:t>%</w:t>
            </w:r>
          </w:p>
        </w:tc>
        <w:tc>
          <w:tcPr>
            <w:tcW w:w="2435" w:type="dxa"/>
            <w:hideMark/>
          </w:tcPr>
          <w:p w:rsidR="00356809" w:rsidRPr="009F2C57" w:rsidRDefault="001161AB" w:rsidP="00294ECC">
            <w:pPr>
              <w:spacing w:after="0" w:line="240" w:lineRule="auto"/>
              <w:jc w:val="left"/>
              <w:rPr>
                <w:rFonts w:ascii="Arial" w:eastAsia="Calibri" w:hAnsi="Arial" w:cs="Arial"/>
                <w:szCs w:val="24"/>
              </w:rPr>
            </w:pPr>
            <w:r>
              <w:rPr>
                <w:rFonts w:ascii="Calibri" w:eastAsia="Calibri" w:hAnsi="Calibri" w:cs="Arial"/>
                <w:color w:val="000000"/>
                <w:kern w:val="24"/>
                <w:szCs w:val="24"/>
              </w:rPr>
              <w:t>Typhoid fever</w:t>
            </w:r>
          </w:p>
        </w:tc>
        <w:tc>
          <w:tcPr>
            <w:tcW w:w="1255" w:type="dxa"/>
            <w:hideMark/>
          </w:tcPr>
          <w:p w:rsidR="00356809" w:rsidRPr="009F2C57" w:rsidRDefault="001161AB" w:rsidP="00294ECC">
            <w:pPr>
              <w:spacing w:after="0" w:line="240" w:lineRule="auto"/>
              <w:jc w:val="left"/>
              <w:rPr>
                <w:rFonts w:ascii="Arial" w:eastAsia="Calibri" w:hAnsi="Arial" w:cs="Arial"/>
                <w:szCs w:val="24"/>
              </w:rPr>
            </w:pPr>
            <w:r>
              <w:rPr>
                <w:rFonts w:ascii="Calibri" w:eastAsia="Calibri" w:hAnsi="Calibri" w:cs="Arial"/>
                <w:color w:val="000000"/>
                <w:kern w:val="24"/>
                <w:szCs w:val="24"/>
              </w:rPr>
              <w:t>4</w:t>
            </w:r>
            <w:r w:rsidR="00356809" w:rsidRPr="009F2C57">
              <w:rPr>
                <w:rFonts w:ascii="Calibri" w:eastAsia="Calibri" w:hAnsi="Calibri" w:cs="Arial"/>
                <w:color w:val="000000"/>
                <w:kern w:val="24"/>
                <w:szCs w:val="24"/>
              </w:rPr>
              <w:t>%</w:t>
            </w:r>
          </w:p>
        </w:tc>
      </w:tr>
    </w:tbl>
    <w:p w:rsidR="00DE6384" w:rsidRDefault="00DE6384">
      <w:pPr>
        <w:rPr>
          <w:lang w:val="en-GB"/>
        </w:rPr>
      </w:pPr>
    </w:p>
    <w:p w:rsidR="00834CD6" w:rsidRDefault="00834CD6" w:rsidP="00336A24">
      <w:pPr>
        <w:pStyle w:val="Heading1"/>
      </w:pPr>
      <w:bookmarkStart w:id="5" w:name="_Toc53399901"/>
      <w:r>
        <w:t>Progress on Key performance indicators</w:t>
      </w:r>
      <w:bookmarkEnd w:id="5"/>
    </w:p>
    <w:p w:rsidR="00834CD6" w:rsidRDefault="00834CD6" w:rsidP="00294ECC">
      <w:pPr>
        <w:pStyle w:val="Heading2"/>
        <w:rPr>
          <w:lang w:val="en-GB"/>
        </w:rPr>
      </w:pPr>
      <w:bookmarkStart w:id="6" w:name="_Toc53399902"/>
      <w:r>
        <w:rPr>
          <w:lang w:val="en-GB"/>
        </w:rPr>
        <w:t>Maternal and child health</w:t>
      </w:r>
      <w:bookmarkEnd w:id="6"/>
    </w:p>
    <w:p w:rsidR="00834CD6" w:rsidRPr="0074243C" w:rsidRDefault="00013C6E" w:rsidP="00336A24">
      <w:pPr>
        <w:pStyle w:val="Heading3"/>
        <w:rPr>
          <w:lang w:val="en-GB"/>
        </w:rPr>
      </w:pPr>
      <w:bookmarkStart w:id="7" w:name="_Toc53399903"/>
      <w:r w:rsidRPr="0074243C">
        <w:rPr>
          <w:lang w:val="en-GB"/>
        </w:rPr>
        <w:t xml:space="preserve">ANC </w:t>
      </w:r>
      <w:r w:rsidR="004325D8" w:rsidRPr="0074243C">
        <w:rPr>
          <w:lang w:val="en-GB"/>
        </w:rPr>
        <w:t>attendance</w:t>
      </w:r>
      <w:bookmarkEnd w:id="7"/>
    </w:p>
    <w:p w:rsidR="00163467" w:rsidRDefault="00163467" w:rsidP="00163467">
      <w:pPr>
        <w:spacing w:before="240"/>
      </w:pPr>
      <w:r>
        <w:t xml:space="preserve">All the expected pregnant women attended at least first </w:t>
      </w:r>
      <w:r w:rsidRPr="00AB2882">
        <w:t xml:space="preserve">ANC </w:t>
      </w:r>
      <w:r>
        <w:t xml:space="preserve">which is </w:t>
      </w:r>
      <w:r w:rsidRPr="00AB2882">
        <w:t>100%</w:t>
      </w:r>
      <w:r w:rsidR="00900318">
        <w:t xml:space="preserve"> and </w:t>
      </w:r>
      <w:r w:rsidR="002C745B" w:rsidRPr="002C745B">
        <w:t>17</w:t>
      </w:r>
      <w:r w:rsidR="00900318" w:rsidRPr="002C745B">
        <w:t>%</w:t>
      </w:r>
      <w:r w:rsidR="00900318">
        <w:t xml:space="preserve"> of these were teenagers</w:t>
      </w:r>
      <w:r w:rsidR="002C745B">
        <w:t>, a slight decline from 18% in FY 2018/19</w:t>
      </w:r>
      <w:r w:rsidR="00B85385">
        <w:t>. T</w:t>
      </w:r>
      <w:r>
        <w:t>he proportion of those who attended the 4 antenatal</w:t>
      </w:r>
      <w:r w:rsidR="00B85385">
        <w:t xml:space="preserve"> </w:t>
      </w:r>
      <w:r w:rsidR="00D260B7">
        <w:t>visits reduced</w:t>
      </w:r>
      <w:r w:rsidR="00B85385">
        <w:t xml:space="preserve"> from 79% in FY 2018/19</w:t>
      </w:r>
      <w:r>
        <w:t xml:space="preserve"> </w:t>
      </w:r>
      <w:r w:rsidR="00D260B7">
        <w:t>to 77% in FY 2019/20</w:t>
      </w:r>
      <w:r>
        <w:t xml:space="preserve"> </w:t>
      </w:r>
    </w:p>
    <w:p w:rsidR="003D65BC" w:rsidRPr="00D55465" w:rsidRDefault="00163467">
      <w:r>
        <w:t>The number of pregnant women who attended m</w:t>
      </w:r>
      <w:r w:rsidR="00814766">
        <w:t>ore than 4 ANC visit</w:t>
      </w:r>
      <w:r w:rsidR="00B85385">
        <w:t>s also increased from</w:t>
      </w:r>
      <w:r w:rsidR="00D260B7">
        <w:t xml:space="preserve"> </w:t>
      </w:r>
      <w:r w:rsidR="00B85385">
        <w:t>38% in FY 2018/19</w:t>
      </w:r>
      <w:r w:rsidR="00D260B7">
        <w:t xml:space="preserve"> to 42% in FY 2019/20</w:t>
      </w:r>
      <w:r w:rsidR="00B85385">
        <w:t>. This is still</w:t>
      </w:r>
      <w:r>
        <w:t xml:space="preserve"> low </w:t>
      </w:r>
      <w:r w:rsidR="00D260B7">
        <w:t xml:space="preserve">especially in line with the </w:t>
      </w:r>
      <w:r>
        <w:t xml:space="preserve">World Health </w:t>
      </w:r>
      <w:r w:rsidR="000C5026">
        <w:t>Organization</w:t>
      </w:r>
      <w:r>
        <w:t xml:space="preserve"> recommendation that a pregnant woman should have at least 8 contacts with the health system before delivery. This low attendance could be attributed to the women not starting attendance of ANC early in the first 3 months of pregnancy (1</w:t>
      </w:r>
      <w:r w:rsidRPr="00A26172">
        <w:rPr>
          <w:vertAlign w:val="superscript"/>
        </w:rPr>
        <w:t>st</w:t>
      </w:r>
      <w:r>
        <w:t xml:space="preserve"> trimester)</w:t>
      </w:r>
      <w:r w:rsidR="00814766">
        <w:t xml:space="preserve"> as evidenced by the low </w:t>
      </w:r>
      <w:proofErr w:type="spellStart"/>
      <w:r w:rsidR="00814766">
        <w:t>coverages</w:t>
      </w:r>
      <w:proofErr w:type="spellEnd"/>
      <w:r w:rsidR="00B85385">
        <w:t xml:space="preserve"> although we see a</w:t>
      </w:r>
      <w:r w:rsidR="009A7EE7">
        <w:t>n</w:t>
      </w:r>
      <w:r w:rsidR="00B85385">
        <w:t xml:space="preserve"> improv</w:t>
      </w:r>
      <w:r w:rsidR="00D260B7">
        <w:t xml:space="preserve">ement from </w:t>
      </w:r>
      <w:r w:rsidR="00B85385">
        <w:t xml:space="preserve">27% in FY 2018/19 </w:t>
      </w:r>
      <w:r w:rsidR="0093769B">
        <w:t>to 49% in FY 2019/20</w:t>
      </w:r>
      <w:r>
        <w:t>.</w:t>
      </w:r>
    </w:p>
    <w:p w:rsidR="00013C6E" w:rsidRDefault="0093769B">
      <w:pPr>
        <w:rPr>
          <w:lang w:val="en-GB"/>
        </w:rPr>
      </w:pPr>
      <w:r>
        <w:rPr>
          <w:noProof/>
        </w:rPr>
        <w:drawing>
          <wp:inline distT="0" distB="0" distL="0" distR="0" wp14:anchorId="488D2724" wp14:editId="6EA8D51E">
            <wp:extent cx="4394579" cy="2522220"/>
            <wp:effectExtent l="0" t="0" r="635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34CD6" w:rsidRDefault="00834CD6">
      <w:pPr>
        <w:rPr>
          <w:lang w:val="en-GB"/>
        </w:rPr>
      </w:pPr>
    </w:p>
    <w:p w:rsidR="006C78D8" w:rsidRDefault="006C78D8" w:rsidP="002A5D79">
      <w:pPr>
        <w:pStyle w:val="Heading3"/>
        <w:rPr>
          <w:lang w:val="en-GB"/>
        </w:rPr>
      </w:pPr>
      <w:bookmarkStart w:id="8" w:name="_Toc53399904"/>
      <w:r>
        <w:rPr>
          <w:lang w:val="en-GB"/>
        </w:rPr>
        <w:t>ART initiation among HIV+ pregnant women</w:t>
      </w:r>
      <w:bookmarkEnd w:id="8"/>
    </w:p>
    <w:p w:rsidR="006C78D8" w:rsidRDefault="006C78D8" w:rsidP="006C78D8">
      <w:r>
        <w:t xml:space="preserve">Pregnant </w:t>
      </w:r>
      <w:r w:rsidR="001C0C55">
        <w:t xml:space="preserve">and lactating </w:t>
      </w:r>
      <w:r>
        <w:t>women who are identified HIV positive are supposed to be initiated on lifelong ART treatment. It’s recommended that 95</w:t>
      </w:r>
      <w:r w:rsidR="001C0C55">
        <w:t xml:space="preserve">% of the HIV positive pregnant and lactating </w:t>
      </w:r>
      <w:r>
        <w:t xml:space="preserve">women identified are initiated on ART. </w:t>
      </w:r>
      <w:r w:rsidR="00D8784C">
        <w:t>In FY 2019/20, the health sector</w:t>
      </w:r>
      <w:r>
        <w:t xml:space="preserve"> was able to initiate </w:t>
      </w:r>
      <w:r w:rsidR="00D8784C">
        <w:t>97</w:t>
      </w:r>
      <w:r>
        <w:t>% of the HIV positive pregnant women on ART</w:t>
      </w:r>
      <w:r w:rsidR="00D8784C">
        <w:t xml:space="preserve"> an improvement from 89% in FY 2018/19</w:t>
      </w:r>
      <w:r>
        <w:t xml:space="preserve">. </w:t>
      </w:r>
    </w:p>
    <w:p w:rsidR="006C78D8" w:rsidRDefault="00003F99" w:rsidP="002A5D79">
      <w:pPr>
        <w:pStyle w:val="Heading3"/>
        <w:rPr>
          <w:lang w:val="en-GB"/>
        </w:rPr>
      </w:pPr>
      <w:bookmarkStart w:id="9" w:name="_Toc53399905"/>
      <w:r>
        <w:rPr>
          <w:lang w:val="en-GB"/>
        </w:rPr>
        <w:t>Supervised deliveries</w:t>
      </w:r>
      <w:bookmarkEnd w:id="9"/>
    </w:p>
    <w:p w:rsidR="005230B4" w:rsidRDefault="00C3314A">
      <w:pPr>
        <w:rPr>
          <w:lang w:val="en-GB"/>
        </w:rPr>
      </w:pPr>
      <w:r>
        <w:rPr>
          <w:lang w:val="en-GB"/>
        </w:rPr>
        <w:t>Supervised deliveries in both private and pub</w:t>
      </w:r>
      <w:r w:rsidR="00D8784C">
        <w:rPr>
          <w:lang w:val="en-GB"/>
        </w:rPr>
        <w:t>lic health facilities in FY 2019/20</w:t>
      </w:r>
      <w:r w:rsidR="00A0576B">
        <w:rPr>
          <w:lang w:val="en-GB"/>
        </w:rPr>
        <w:t xml:space="preserve"> was </w:t>
      </w:r>
      <w:r>
        <w:rPr>
          <w:lang w:val="en-GB"/>
        </w:rPr>
        <w:t>9</w:t>
      </w:r>
      <w:r w:rsidR="00D8784C">
        <w:rPr>
          <w:lang w:val="en-GB"/>
        </w:rPr>
        <w:t>2</w:t>
      </w:r>
      <w:r>
        <w:rPr>
          <w:lang w:val="en-GB"/>
        </w:rPr>
        <w:t>% of the targeted deliveries</w:t>
      </w:r>
      <w:r w:rsidR="00D8784C">
        <w:rPr>
          <w:lang w:val="en-GB"/>
        </w:rPr>
        <w:t xml:space="preserve"> a slight decline from 94% in FY 2018/19</w:t>
      </w:r>
      <w:r w:rsidRPr="00C92562">
        <w:rPr>
          <w:lang w:val="en-GB"/>
        </w:rPr>
        <w:t>. The</w:t>
      </w:r>
      <w:r w:rsidR="00F3085B" w:rsidRPr="00C92562">
        <w:rPr>
          <w:lang w:val="en-GB"/>
        </w:rPr>
        <w:t xml:space="preserve"> teenage del</w:t>
      </w:r>
      <w:r w:rsidR="00C92562" w:rsidRPr="00C92562">
        <w:rPr>
          <w:lang w:val="en-GB"/>
        </w:rPr>
        <w:t xml:space="preserve">iveries stagnated at 17% in FY 2019/20 as was the case in </w:t>
      </w:r>
      <w:r w:rsidR="00C92562">
        <w:rPr>
          <w:lang w:val="en-GB"/>
        </w:rPr>
        <w:t xml:space="preserve">FY 2018/19. </w:t>
      </w:r>
      <w:r>
        <w:rPr>
          <w:lang w:val="en-GB"/>
        </w:rPr>
        <w:t xml:space="preserve"> However the sub counties of </w:t>
      </w:r>
      <w:proofErr w:type="spellStart"/>
      <w:r>
        <w:rPr>
          <w:lang w:val="en-GB"/>
        </w:rPr>
        <w:t>Budondo</w:t>
      </w:r>
      <w:proofErr w:type="spellEnd"/>
      <w:r>
        <w:rPr>
          <w:lang w:val="en-GB"/>
        </w:rPr>
        <w:t xml:space="preserve">, </w:t>
      </w:r>
      <w:proofErr w:type="spellStart"/>
      <w:r>
        <w:rPr>
          <w:lang w:val="en-GB"/>
        </w:rPr>
        <w:t>Butagaya</w:t>
      </w:r>
      <w:proofErr w:type="spellEnd"/>
      <w:r>
        <w:rPr>
          <w:lang w:val="en-GB"/>
        </w:rPr>
        <w:t xml:space="preserve"> and </w:t>
      </w:r>
      <w:proofErr w:type="spellStart"/>
      <w:r>
        <w:rPr>
          <w:lang w:val="en-GB"/>
        </w:rPr>
        <w:t>Buwenge</w:t>
      </w:r>
      <w:proofErr w:type="spellEnd"/>
      <w:r>
        <w:rPr>
          <w:lang w:val="en-GB"/>
        </w:rPr>
        <w:t xml:space="preserve"> need some targeted interventions to reduce the teenage deliveries. </w:t>
      </w:r>
      <w:r w:rsidR="00F369F1">
        <w:rPr>
          <w:lang w:val="en-GB"/>
        </w:rPr>
        <w:t>ART coverage amon</w:t>
      </w:r>
      <w:r w:rsidR="00F3085B">
        <w:rPr>
          <w:lang w:val="en-GB"/>
        </w:rPr>
        <w:t>g HIV+ mothers in maternity improved from 98% in FY 2018/19</w:t>
      </w:r>
      <w:r w:rsidR="00D8784C">
        <w:rPr>
          <w:lang w:val="en-GB"/>
        </w:rPr>
        <w:t xml:space="preserve"> to 100% in FY 2019/20</w:t>
      </w:r>
      <w:r w:rsidR="00F369F1">
        <w:rPr>
          <w:lang w:val="en-GB"/>
        </w:rPr>
        <w:t xml:space="preserve">. </w:t>
      </w:r>
    </w:p>
    <w:p w:rsidR="007852E8" w:rsidRPr="00340CB3" w:rsidRDefault="00C92562" w:rsidP="00304750">
      <w:pPr>
        <w:rPr>
          <w:shd w:val="clear" w:color="auto" w:fill="FFFFFF"/>
        </w:rPr>
      </w:pPr>
      <w:r>
        <w:rPr>
          <w:shd w:val="clear" w:color="auto" w:fill="FFFFFF"/>
        </w:rPr>
        <w:t xml:space="preserve">The health Sector Development plan targets to have </w:t>
      </w:r>
      <w:proofErr w:type="spellStart"/>
      <w:r>
        <w:rPr>
          <w:shd w:val="clear" w:color="auto" w:fill="FFFFFF"/>
        </w:rPr>
        <w:t>atleast</w:t>
      </w:r>
      <w:proofErr w:type="spellEnd"/>
      <w:r>
        <w:rPr>
          <w:shd w:val="clear" w:color="auto" w:fill="FFFFFF"/>
        </w:rPr>
        <w:t xml:space="preserve"> 50% of health </w:t>
      </w:r>
      <w:proofErr w:type="spellStart"/>
      <w:r>
        <w:rPr>
          <w:shd w:val="clear" w:color="auto" w:fill="FFFFFF"/>
        </w:rPr>
        <w:t>centre</w:t>
      </w:r>
      <w:proofErr w:type="spellEnd"/>
      <w:r>
        <w:rPr>
          <w:shd w:val="clear" w:color="auto" w:fill="FFFFFF"/>
        </w:rPr>
        <w:t xml:space="preserve"> IVs offering Comprehensive Emergency Obstetric Care (</w:t>
      </w:r>
      <w:proofErr w:type="spellStart"/>
      <w:r>
        <w:rPr>
          <w:shd w:val="clear" w:color="auto" w:fill="FFFFFF"/>
        </w:rPr>
        <w:t>CeMOC</w:t>
      </w:r>
      <w:proofErr w:type="spellEnd"/>
      <w:r>
        <w:rPr>
          <w:shd w:val="clear" w:color="auto" w:fill="FFFFFF"/>
        </w:rPr>
        <w:t xml:space="preserve">). In Jinja only 60% of health </w:t>
      </w:r>
      <w:proofErr w:type="spellStart"/>
      <w:r>
        <w:rPr>
          <w:shd w:val="clear" w:color="auto" w:fill="FFFFFF"/>
        </w:rPr>
        <w:t>centre</w:t>
      </w:r>
      <w:proofErr w:type="spellEnd"/>
      <w:r>
        <w:rPr>
          <w:shd w:val="clear" w:color="auto" w:fill="FFFFFF"/>
        </w:rPr>
        <w:t xml:space="preserve"> IVs are able to offer that service. </w:t>
      </w:r>
      <w:r w:rsidR="007852E8" w:rsidRPr="00635ACC">
        <w:rPr>
          <w:shd w:val="clear" w:color="auto" w:fill="FFFFFF"/>
        </w:rPr>
        <w:t>UNICEF/WHO/UNFPA recommend a </w:t>
      </w:r>
      <w:r w:rsidR="007852E8" w:rsidRPr="00635ACC">
        <w:rPr>
          <w:b/>
          <w:bCs/>
          <w:color w:val="6A6A6A"/>
          <w:shd w:val="clear" w:color="auto" w:fill="FFFFFF"/>
        </w:rPr>
        <w:t>C</w:t>
      </w:r>
      <w:r w:rsidR="007852E8" w:rsidRPr="00635ACC">
        <w:rPr>
          <w:shd w:val="clear" w:color="auto" w:fill="FFFFFF"/>
        </w:rPr>
        <w:t>-</w:t>
      </w:r>
      <w:r w:rsidR="007852E8" w:rsidRPr="00635ACC">
        <w:rPr>
          <w:b/>
          <w:bCs/>
          <w:color w:val="6A6A6A"/>
          <w:shd w:val="clear" w:color="auto" w:fill="FFFFFF"/>
        </w:rPr>
        <w:t>section rate</w:t>
      </w:r>
      <w:r w:rsidR="007852E8" w:rsidRPr="00635ACC">
        <w:rPr>
          <w:shd w:val="clear" w:color="auto" w:fill="FFFFFF"/>
        </w:rPr>
        <w:t xml:space="preserve"> between 5 and 15 percent of all births and the </w:t>
      </w:r>
      <w:r w:rsidR="00304750">
        <w:rPr>
          <w:shd w:val="clear" w:color="auto" w:fill="FFFFFF"/>
        </w:rPr>
        <w:t xml:space="preserve">average rate registered by the district was 12% slightly lower than the 15% registered in FY </w:t>
      </w:r>
      <w:r w:rsidR="00304750">
        <w:rPr>
          <w:shd w:val="clear" w:color="auto" w:fill="FFFFFF"/>
        </w:rPr>
        <w:lastRenderedPageBreak/>
        <w:t xml:space="preserve">2018/19. </w:t>
      </w:r>
      <w:r w:rsidR="007852E8" w:rsidRPr="00635ACC">
        <w:rPr>
          <w:noProof/>
        </w:rPr>
        <w:drawing>
          <wp:inline distT="0" distB="0" distL="0" distR="0">
            <wp:extent cx="4280535" cy="2974340"/>
            <wp:effectExtent l="0" t="0" r="5715" b="165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3F99" w:rsidRDefault="00003F99" w:rsidP="002A5D79">
      <w:pPr>
        <w:pStyle w:val="Heading3"/>
        <w:rPr>
          <w:lang w:val="en-GB"/>
        </w:rPr>
      </w:pPr>
      <w:bookmarkStart w:id="10" w:name="_Toc53399906"/>
      <w:r>
        <w:rPr>
          <w:lang w:val="en-GB"/>
        </w:rPr>
        <w:t>Post natal attendances</w:t>
      </w:r>
      <w:bookmarkEnd w:id="10"/>
    </w:p>
    <w:p w:rsidR="00530213" w:rsidRPr="00340CB3" w:rsidRDefault="005B2CD0">
      <w:pPr>
        <w:rPr>
          <w:lang w:val="en-GB"/>
        </w:rPr>
      </w:pPr>
      <w:r>
        <w:rPr>
          <w:lang w:val="en-GB"/>
        </w:rPr>
        <w:t xml:space="preserve">The pregnant women attending </w:t>
      </w:r>
      <w:r w:rsidR="004411FF">
        <w:rPr>
          <w:lang w:val="en-GB"/>
        </w:rPr>
        <w:t>postnatal</w:t>
      </w:r>
      <w:r>
        <w:rPr>
          <w:lang w:val="en-GB"/>
        </w:rPr>
        <w:t xml:space="preserve"> clinics were </w:t>
      </w:r>
      <w:r w:rsidR="004411FF">
        <w:rPr>
          <w:lang w:val="en-GB"/>
        </w:rPr>
        <w:t>extremely low espe</w:t>
      </w:r>
      <w:r w:rsidR="003D55C3">
        <w:rPr>
          <w:lang w:val="en-GB"/>
        </w:rPr>
        <w:t>cially the attendance at 6 days and 6 months</w:t>
      </w:r>
      <w:r w:rsidR="005C3844">
        <w:rPr>
          <w:lang w:val="en-GB"/>
        </w:rPr>
        <w:t>.</w:t>
      </w:r>
    </w:p>
    <w:p w:rsidR="006629B1" w:rsidRDefault="006629B1">
      <w:pPr>
        <w:rPr>
          <w:lang w:val="en-GB"/>
        </w:rPr>
      </w:pPr>
      <w:r w:rsidRPr="006629B1">
        <w:rPr>
          <w:noProof/>
        </w:rPr>
        <w:drawing>
          <wp:inline distT="0" distB="0" distL="0" distR="0">
            <wp:extent cx="4076700" cy="2552700"/>
            <wp:effectExtent l="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29B1" w:rsidRDefault="006629B1">
      <w:pPr>
        <w:rPr>
          <w:lang w:val="en-GB"/>
        </w:rPr>
      </w:pPr>
    </w:p>
    <w:p w:rsidR="004411FF" w:rsidRDefault="00A939F3" w:rsidP="002A5D79">
      <w:pPr>
        <w:pStyle w:val="Heading3"/>
        <w:rPr>
          <w:lang w:val="en-GB"/>
        </w:rPr>
      </w:pPr>
      <w:bookmarkStart w:id="11" w:name="_Toc53399907"/>
      <w:r>
        <w:rPr>
          <w:lang w:val="en-GB"/>
        </w:rPr>
        <w:t>A</w:t>
      </w:r>
      <w:r w:rsidR="00C36791">
        <w:rPr>
          <w:lang w:val="en-GB"/>
        </w:rPr>
        <w:t>RT</w:t>
      </w:r>
      <w:r>
        <w:rPr>
          <w:lang w:val="en-GB"/>
        </w:rPr>
        <w:t xml:space="preserve"> initiation rates at ANC</w:t>
      </w:r>
      <w:proofErr w:type="gramStart"/>
      <w:r>
        <w:rPr>
          <w:lang w:val="en-GB"/>
        </w:rPr>
        <w:t>,MAT</w:t>
      </w:r>
      <w:proofErr w:type="gramEnd"/>
      <w:r>
        <w:rPr>
          <w:lang w:val="en-GB"/>
        </w:rPr>
        <w:t xml:space="preserve"> and PNC</w:t>
      </w:r>
      <w:bookmarkEnd w:id="11"/>
    </w:p>
    <w:p w:rsidR="00DF7ABF" w:rsidRDefault="00B05FFB">
      <w:pPr>
        <w:rPr>
          <w:lang w:val="en-GB"/>
        </w:rPr>
      </w:pPr>
      <w:r>
        <w:rPr>
          <w:lang w:val="en-GB"/>
        </w:rPr>
        <w:t xml:space="preserve">Pregnant and lactating women identified HIV+ are expected to be initiated on </w:t>
      </w:r>
      <w:proofErr w:type="spellStart"/>
      <w:r>
        <w:rPr>
          <w:lang w:val="en-GB"/>
        </w:rPr>
        <w:t>life long</w:t>
      </w:r>
      <w:proofErr w:type="spellEnd"/>
      <w:r>
        <w:rPr>
          <w:lang w:val="en-GB"/>
        </w:rPr>
        <w:t xml:space="preserve"> treatment to prevent mother to child transmission of HIV. The graph below shows the initiation rates at the 3 entry points for pregnant and lactating women. </w:t>
      </w:r>
      <w:r w:rsidR="005E2A2D">
        <w:rPr>
          <w:lang w:val="en-GB"/>
        </w:rPr>
        <w:t>The overall performanc</w:t>
      </w:r>
      <w:r w:rsidR="006629B1">
        <w:rPr>
          <w:lang w:val="en-GB"/>
        </w:rPr>
        <w:t>e of the option B+ program was 9</w:t>
      </w:r>
      <w:r w:rsidR="005C6E60">
        <w:rPr>
          <w:lang w:val="en-GB"/>
        </w:rPr>
        <w:t>4</w:t>
      </w:r>
      <w:r w:rsidR="005E2A2D">
        <w:rPr>
          <w:lang w:val="en-GB"/>
        </w:rPr>
        <w:t>%</w:t>
      </w:r>
      <w:r w:rsidR="005C6E60">
        <w:rPr>
          <w:lang w:val="en-GB"/>
        </w:rPr>
        <w:t xml:space="preserve"> in FY 2019/20</w:t>
      </w:r>
      <w:r w:rsidR="006629B1">
        <w:rPr>
          <w:lang w:val="en-GB"/>
        </w:rPr>
        <w:t xml:space="preserve"> a</w:t>
      </w:r>
      <w:r w:rsidR="005C6E60">
        <w:rPr>
          <w:lang w:val="en-GB"/>
        </w:rPr>
        <w:t xml:space="preserve"> slight decline from 96% in FY 2018/19</w:t>
      </w:r>
      <w:r w:rsidR="006629B1">
        <w:rPr>
          <w:lang w:val="en-GB"/>
        </w:rPr>
        <w:t xml:space="preserve"> </w:t>
      </w:r>
      <w:r>
        <w:rPr>
          <w:noProof/>
        </w:rPr>
        <w:drawing>
          <wp:inline distT="0" distB="0" distL="0" distR="0">
            <wp:extent cx="4394835" cy="3088640"/>
            <wp:effectExtent l="0" t="0" r="5715" b="165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51109" w:rsidRDefault="000C3703" w:rsidP="002A5D79">
      <w:pPr>
        <w:pStyle w:val="Heading3"/>
        <w:rPr>
          <w:lang w:val="en-GB"/>
        </w:rPr>
      </w:pPr>
      <w:bookmarkStart w:id="12" w:name="_Toc53399908"/>
      <w:r>
        <w:rPr>
          <w:lang w:val="en-GB"/>
        </w:rPr>
        <w:t>Early infant diagnosis of HIV</w:t>
      </w:r>
      <w:bookmarkEnd w:id="12"/>
    </w:p>
    <w:p w:rsidR="00C40196" w:rsidRPr="006629B1" w:rsidRDefault="005E2A2D" w:rsidP="00C40196">
      <w:pPr>
        <w:rPr>
          <w:szCs w:val="24"/>
          <w:highlight w:val="yellow"/>
        </w:rPr>
      </w:pPr>
      <w:r w:rsidRPr="00DC5FC1">
        <w:rPr>
          <w:lang w:val="en-GB"/>
        </w:rPr>
        <w:t>HIV exposed infants who received 1</w:t>
      </w:r>
      <w:r w:rsidRPr="00DC5FC1">
        <w:rPr>
          <w:vertAlign w:val="superscript"/>
          <w:lang w:val="en-GB"/>
        </w:rPr>
        <w:t>st</w:t>
      </w:r>
      <w:r w:rsidRPr="00DC5FC1">
        <w:rPr>
          <w:lang w:val="en-GB"/>
        </w:rPr>
        <w:t xml:space="preserve"> DBS between 6-8 weeks</w:t>
      </w:r>
      <w:r w:rsidR="00DC5FC1">
        <w:rPr>
          <w:lang w:val="en-GB"/>
        </w:rPr>
        <w:t xml:space="preserve"> increased from</w:t>
      </w:r>
      <w:r w:rsidR="00BF4F9A">
        <w:rPr>
          <w:lang w:val="en-GB"/>
        </w:rPr>
        <w:t xml:space="preserve"> </w:t>
      </w:r>
      <w:r w:rsidR="00DC5FC1">
        <w:rPr>
          <w:lang w:val="en-GB"/>
        </w:rPr>
        <w:t>78% in FY 2018/19</w:t>
      </w:r>
      <w:r w:rsidR="00BF4F9A">
        <w:rPr>
          <w:lang w:val="en-GB"/>
        </w:rPr>
        <w:t xml:space="preserve"> to 98% in FY 2019/20</w:t>
      </w:r>
      <w:r w:rsidRPr="00DC5FC1">
        <w:rPr>
          <w:lang w:val="en-GB"/>
        </w:rPr>
        <w:t xml:space="preserve">. </w:t>
      </w:r>
      <w:r w:rsidR="00DC5FC1" w:rsidRPr="00DC5FC1">
        <w:rPr>
          <w:lang w:val="en-GB"/>
        </w:rPr>
        <w:t>The HIV positivity rate among HIV exposed infants at the 1</w:t>
      </w:r>
      <w:r w:rsidR="00DC5FC1" w:rsidRPr="00DC5FC1">
        <w:rPr>
          <w:vertAlign w:val="superscript"/>
          <w:lang w:val="en-GB"/>
        </w:rPr>
        <w:t>st</w:t>
      </w:r>
      <w:r w:rsidR="00BF4F9A">
        <w:rPr>
          <w:lang w:val="en-GB"/>
        </w:rPr>
        <w:t xml:space="preserve"> test (PCR) was 3</w:t>
      </w:r>
      <w:r w:rsidR="00DC5FC1" w:rsidRPr="00DC5FC1">
        <w:rPr>
          <w:lang w:val="en-GB"/>
        </w:rPr>
        <w:t>% on average</w:t>
      </w:r>
      <w:r w:rsidR="00BF4F9A">
        <w:rPr>
          <w:lang w:val="en-GB"/>
        </w:rPr>
        <w:t xml:space="preserve"> an improvement from 6% in FY 2018/19</w:t>
      </w:r>
      <w:r w:rsidR="00DC5FC1">
        <w:rPr>
          <w:lang w:val="en-GB"/>
        </w:rPr>
        <w:t xml:space="preserve">. The </w:t>
      </w:r>
      <w:r w:rsidR="000C3703">
        <w:rPr>
          <w:lang w:val="en-GB"/>
        </w:rPr>
        <w:t xml:space="preserve">ART initiation of the HIV positive infants </w:t>
      </w:r>
      <w:r w:rsidR="00BF4F9A">
        <w:rPr>
          <w:lang w:val="en-GB"/>
        </w:rPr>
        <w:t xml:space="preserve">increased from </w:t>
      </w:r>
      <w:r w:rsidR="000C3703">
        <w:rPr>
          <w:lang w:val="en-GB"/>
        </w:rPr>
        <w:t xml:space="preserve">85% </w:t>
      </w:r>
      <w:r w:rsidR="00BF4F9A">
        <w:rPr>
          <w:lang w:val="en-GB"/>
        </w:rPr>
        <w:t>in FY 2018/19 to 100% in FY 2019/20</w:t>
      </w:r>
      <w:r w:rsidR="000C3703">
        <w:rPr>
          <w:lang w:val="en-GB"/>
        </w:rPr>
        <w:t xml:space="preserve">. </w:t>
      </w:r>
      <w:r w:rsidR="00A05646" w:rsidRPr="006629B1">
        <w:rPr>
          <w:highlight w:val="yellow"/>
          <w:lang w:val="en-GB"/>
        </w:rPr>
        <w:fldChar w:fldCharType="begin"/>
      </w:r>
      <w:r w:rsidR="00D51109" w:rsidRPr="006629B1">
        <w:rPr>
          <w:highlight w:val="yellow"/>
          <w:lang w:val="en-GB"/>
        </w:rPr>
        <w:instrText xml:space="preserve"> LINK Excel.Sheet.8 "Workbook3" "Sheet1!R1C1:R16C5" \a \f 4 \h  \* MERGEFORMAT </w:instrText>
      </w:r>
      <w:r w:rsidR="00A05646" w:rsidRPr="006629B1">
        <w:rPr>
          <w:highlight w:val="yellow"/>
          <w:lang w:val="en-GB"/>
        </w:rPr>
        <w:fldChar w:fldCharType="separate"/>
      </w:r>
      <w:r w:rsidR="00A05646" w:rsidRPr="006629B1">
        <w:rPr>
          <w:highlight w:val="yellow"/>
          <w:lang w:val="en-GB"/>
        </w:rPr>
        <w:fldChar w:fldCharType="begin"/>
      </w:r>
      <w:r w:rsidR="00C40196" w:rsidRPr="006629B1">
        <w:rPr>
          <w:highlight w:val="yellow"/>
          <w:lang w:val="en-GB"/>
        </w:rPr>
        <w:instrText xml:space="preserve"> LINK Excel.Sheet.8 "Workbook1" "Sheet2!R2C1:R17C3" \a \f 4 \h  \* MERGEFORMAT </w:instrText>
      </w:r>
      <w:r w:rsidR="00A05646" w:rsidRPr="006629B1">
        <w:rPr>
          <w:highlight w:val="yellow"/>
          <w:lang w:val="en-GB"/>
        </w:rPr>
        <w:fldChar w:fldCharType="separate"/>
      </w:r>
    </w:p>
    <w:p w:rsidR="00C40196" w:rsidRPr="006629B1" w:rsidRDefault="00A05646" w:rsidP="0040206A">
      <w:pPr>
        <w:rPr>
          <w:highlight w:val="yellow"/>
        </w:rPr>
      </w:pPr>
      <w:r w:rsidRPr="006629B1">
        <w:rPr>
          <w:highlight w:val="yellow"/>
          <w:lang w:val="en-GB"/>
        </w:rPr>
        <w:lastRenderedPageBreak/>
        <w:fldChar w:fldCharType="end"/>
      </w:r>
    </w:p>
    <w:p w:rsidR="00A939F3" w:rsidRPr="00C40196" w:rsidRDefault="00A05646" w:rsidP="002A5D79">
      <w:pPr>
        <w:pStyle w:val="Heading3"/>
      </w:pPr>
      <w:r w:rsidRPr="006629B1">
        <w:rPr>
          <w:highlight w:val="yellow"/>
          <w:lang w:val="en-GB"/>
        </w:rPr>
        <w:fldChar w:fldCharType="end"/>
      </w:r>
      <w:bookmarkStart w:id="13" w:name="_Toc53399909"/>
      <w:r w:rsidR="00A939F3">
        <w:rPr>
          <w:lang w:val="en-GB"/>
        </w:rPr>
        <w:t>Immunisation</w:t>
      </w:r>
      <w:bookmarkEnd w:id="13"/>
    </w:p>
    <w:p w:rsidR="00AC2912" w:rsidRDefault="00AC2912">
      <w:pPr>
        <w:rPr>
          <w:lang w:val="en-GB"/>
        </w:rPr>
      </w:pPr>
      <w:r w:rsidRPr="0074243C">
        <w:rPr>
          <w:lang w:val="en-GB"/>
        </w:rPr>
        <w:t xml:space="preserve">The health sector was expected to immunise </w:t>
      </w:r>
      <w:r w:rsidR="0074243C" w:rsidRPr="0074243C">
        <w:rPr>
          <w:lang w:val="en-GB"/>
        </w:rPr>
        <w:t>22,288</w:t>
      </w:r>
      <w:r w:rsidR="002D7AE6" w:rsidRPr="0074243C">
        <w:rPr>
          <w:lang w:val="en-GB"/>
        </w:rPr>
        <w:t xml:space="preserve"> </w:t>
      </w:r>
      <w:r w:rsidR="00504C81" w:rsidRPr="0074243C">
        <w:rPr>
          <w:lang w:val="en-GB"/>
        </w:rPr>
        <w:t>children under one year of age</w:t>
      </w:r>
      <w:r w:rsidR="006629B1" w:rsidRPr="0074243C">
        <w:rPr>
          <w:lang w:val="en-GB"/>
        </w:rPr>
        <w:t xml:space="preserve"> with DPT, Measles, </w:t>
      </w:r>
      <w:r w:rsidRPr="0074243C">
        <w:rPr>
          <w:lang w:val="en-GB"/>
        </w:rPr>
        <w:t>PCV</w:t>
      </w:r>
      <w:r w:rsidR="006629B1" w:rsidRPr="0074243C">
        <w:rPr>
          <w:lang w:val="en-GB"/>
        </w:rPr>
        <w:t xml:space="preserve"> and others</w:t>
      </w:r>
      <w:r w:rsidRPr="0074243C">
        <w:rPr>
          <w:lang w:val="en-GB"/>
        </w:rPr>
        <w:t xml:space="preserve">. </w:t>
      </w:r>
      <w:r w:rsidR="00504C81" w:rsidRPr="0074243C">
        <w:rPr>
          <w:lang w:val="en-GB"/>
        </w:rPr>
        <w:t>DPT</w:t>
      </w:r>
      <w:r w:rsidR="006629B1" w:rsidRPr="0074243C">
        <w:rPr>
          <w:lang w:val="en-GB"/>
        </w:rPr>
        <w:t>1 coverage was over 100% (n=</w:t>
      </w:r>
      <w:r w:rsidR="0074243C" w:rsidRPr="0074243C">
        <w:rPr>
          <w:lang w:val="en-GB"/>
        </w:rPr>
        <w:t>22,288</w:t>
      </w:r>
      <w:r w:rsidR="00504C81" w:rsidRPr="0074243C">
        <w:rPr>
          <w:lang w:val="en-GB"/>
        </w:rPr>
        <w:t>)</w:t>
      </w:r>
      <w:r w:rsidR="0074243C" w:rsidRPr="0074243C">
        <w:rPr>
          <w:lang w:val="en-GB"/>
        </w:rPr>
        <w:t>, DPT3 coverage was 85% (n=19031</w:t>
      </w:r>
      <w:r w:rsidR="00504C81" w:rsidRPr="0074243C">
        <w:rPr>
          <w:lang w:val="en-GB"/>
        </w:rPr>
        <w:t xml:space="preserve">) </w:t>
      </w:r>
      <w:proofErr w:type="spellStart"/>
      <w:r w:rsidR="00504C81" w:rsidRPr="0074243C">
        <w:rPr>
          <w:lang w:val="en-GB"/>
        </w:rPr>
        <w:t>vs</w:t>
      </w:r>
      <w:proofErr w:type="spellEnd"/>
      <w:r w:rsidR="00504C81" w:rsidRPr="0074243C">
        <w:rPr>
          <w:lang w:val="en-GB"/>
        </w:rPr>
        <w:t xml:space="preserve"> a targ</w:t>
      </w:r>
      <w:r w:rsidR="0074243C" w:rsidRPr="0074243C">
        <w:rPr>
          <w:lang w:val="en-GB"/>
        </w:rPr>
        <w:t>et of 100%, PCV3 coverage was 85% (n=19014</w:t>
      </w:r>
      <w:r w:rsidR="00504C81" w:rsidRPr="0074243C">
        <w:rPr>
          <w:lang w:val="en-GB"/>
        </w:rPr>
        <w:t xml:space="preserve">) against a target of </w:t>
      </w:r>
      <w:r w:rsidR="0074243C" w:rsidRPr="0074243C">
        <w:rPr>
          <w:lang w:val="en-GB"/>
        </w:rPr>
        <w:t>100% and measles coverage was 79% (n=17564</w:t>
      </w:r>
      <w:r w:rsidR="00504C81" w:rsidRPr="0074243C">
        <w:rPr>
          <w:lang w:val="en-GB"/>
        </w:rPr>
        <w:t xml:space="preserve">) against a target of 90%. </w:t>
      </w:r>
      <w:r w:rsidR="0046159D" w:rsidRPr="0074243C">
        <w:rPr>
          <w:lang w:val="en-GB"/>
        </w:rPr>
        <w:t>The DPT dropout rate was 10</w:t>
      </w:r>
      <w:r w:rsidR="00FE599D" w:rsidRPr="0074243C">
        <w:rPr>
          <w:lang w:val="en-GB"/>
        </w:rPr>
        <w:t xml:space="preserve">% which means that the utilisation of immunisation services is still poor. </w:t>
      </w:r>
      <w:r w:rsidR="00504C81" w:rsidRPr="0074243C">
        <w:rPr>
          <w:lang w:val="en-GB"/>
        </w:rPr>
        <w:t>Girls in school who have not had a sexual debut are expected to be vaccinated with HPV to prevent cervical cancer. The expected numb</w:t>
      </w:r>
      <w:r w:rsidR="0046159D" w:rsidRPr="0074243C">
        <w:rPr>
          <w:lang w:val="en-GB"/>
        </w:rPr>
        <w:t>er of girls to immunis</w:t>
      </w:r>
      <w:r w:rsidR="0074243C" w:rsidRPr="0074243C">
        <w:rPr>
          <w:lang w:val="en-GB"/>
        </w:rPr>
        <w:t>e was 8293</w:t>
      </w:r>
      <w:r w:rsidR="00504C81" w:rsidRPr="0074243C">
        <w:rPr>
          <w:lang w:val="en-GB"/>
        </w:rPr>
        <w:t xml:space="preserve"> and the </w:t>
      </w:r>
      <w:r w:rsidR="0074243C" w:rsidRPr="0074243C">
        <w:rPr>
          <w:lang w:val="en-GB"/>
        </w:rPr>
        <w:t xml:space="preserve">performance was appalling for both doses </w:t>
      </w:r>
      <w:proofErr w:type="spellStart"/>
      <w:r w:rsidR="0074243C" w:rsidRPr="0074243C">
        <w:rPr>
          <w:lang w:val="en-GB"/>
        </w:rPr>
        <w:t>i.e</w:t>
      </w:r>
      <w:proofErr w:type="spellEnd"/>
      <w:r w:rsidR="0074243C" w:rsidRPr="0074243C">
        <w:rPr>
          <w:lang w:val="en-GB"/>
        </w:rPr>
        <w:t xml:space="preserve"> HPV1 was 32% while HPV2 was 33%</w:t>
      </w:r>
    </w:p>
    <w:p w:rsidR="00A939F3" w:rsidRDefault="0040206A">
      <w:pPr>
        <w:rPr>
          <w:lang w:val="en-GB"/>
        </w:rPr>
      </w:pPr>
      <w:r>
        <w:rPr>
          <w:noProof/>
        </w:rPr>
        <w:drawing>
          <wp:inline distT="0" distB="0" distL="0" distR="0" wp14:anchorId="6D64B0A7" wp14:editId="4AD9D6A7">
            <wp:extent cx="4791075" cy="285750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0196" w:rsidRDefault="00C40196">
      <w:pPr>
        <w:rPr>
          <w:lang w:val="en-GB"/>
        </w:rPr>
      </w:pPr>
    </w:p>
    <w:p w:rsidR="00834CD6" w:rsidRDefault="00834CD6" w:rsidP="002A5D79">
      <w:pPr>
        <w:pStyle w:val="Heading2"/>
        <w:rPr>
          <w:lang w:val="en-GB"/>
        </w:rPr>
      </w:pPr>
      <w:bookmarkStart w:id="14" w:name="_Toc53399910"/>
      <w:r>
        <w:rPr>
          <w:lang w:val="en-GB"/>
        </w:rPr>
        <w:t>Malaria</w:t>
      </w:r>
      <w:bookmarkEnd w:id="14"/>
    </w:p>
    <w:p w:rsidR="00834CD6" w:rsidRDefault="00042E8B">
      <w:pPr>
        <w:rPr>
          <w:lang w:val="en-GB"/>
        </w:rPr>
      </w:pPr>
      <w:r>
        <w:rPr>
          <w:lang w:val="en-GB"/>
        </w:rPr>
        <w:t xml:space="preserve">Malaria cases identified per 1000 population were 285 which is above the national target of 198 per 1000. The burden by </w:t>
      </w:r>
      <w:proofErr w:type="gramStart"/>
      <w:r>
        <w:rPr>
          <w:lang w:val="en-GB"/>
        </w:rPr>
        <w:t>sub county</w:t>
      </w:r>
      <w:proofErr w:type="gramEnd"/>
      <w:r>
        <w:rPr>
          <w:lang w:val="en-GB"/>
        </w:rPr>
        <w:t xml:space="preserve"> is shown in the map</w:t>
      </w:r>
    </w:p>
    <w:p w:rsidR="00F4798B" w:rsidRDefault="00FE6F37">
      <w:pPr>
        <w:rPr>
          <w:lang w:val="en-GB"/>
        </w:rPr>
      </w:pPr>
      <w:r w:rsidRPr="00FE6F37">
        <w:rPr>
          <w:noProof/>
        </w:rPr>
        <w:drawing>
          <wp:inline distT="0" distB="0" distL="0" distR="0">
            <wp:extent cx="4203700" cy="2971710"/>
            <wp:effectExtent l="0" t="0" r="6350" b="635"/>
            <wp:docPr id="4" name="Picture 4" descr="C:\Users\Jinja\Desktop\New 2020\All files Desk top\Maps\Malaria cases per 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ja\Desktop\New 2020\All files Desk top\Maps\Malaria cases per 10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3700" cy="2971710"/>
                    </a:xfrm>
                    <a:prstGeom prst="rect">
                      <a:avLst/>
                    </a:prstGeom>
                    <a:noFill/>
                    <a:ln>
                      <a:noFill/>
                    </a:ln>
                  </pic:spPr>
                </pic:pic>
              </a:graphicData>
            </a:graphic>
          </wp:inline>
        </w:drawing>
      </w:r>
    </w:p>
    <w:p w:rsidR="00BE0E87" w:rsidRDefault="00834CD6" w:rsidP="002A5D79">
      <w:pPr>
        <w:pStyle w:val="Heading3"/>
        <w:rPr>
          <w:lang w:val="en-GB"/>
        </w:rPr>
      </w:pPr>
      <w:bookmarkStart w:id="15" w:name="_Toc53399911"/>
      <w:r>
        <w:rPr>
          <w:lang w:val="en-GB"/>
        </w:rPr>
        <w:t>Malaria testing and treatment</w:t>
      </w:r>
      <w:bookmarkEnd w:id="15"/>
    </w:p>
    <w:p w:rsidR="000343F9" w:rsidRDefault="00BB619B" w:rsidP="000343F9">
      <w:pPr>
        <w:rPr>
          <w:lang w:val="en-GB"/>
        </w:rPr>
      </w:pPr>
      <w:r>
        <w:rPr>
          <w:lang w:val="en-GB"/>
        </w:rPr>
        <w:t xml:space="preserve">The malaria testing rates </w:t>
      </w:r>
      <w:r w:rsidR="00A93EBB">
        <w:rPr>
          <w:lang w:val="en-GB"/>
        </w:rPr>
        <w:t>have reduced from 76% FY 2018/19 to 70% in FY 2019/20</w:t>
      </w:r>
      <w:r w:rsidR="00327B82">
        <w:rPr>
          <w:lang w:val="en-GB"/>
        </w:rPr>
        <w:t>. T</w:t>
      </w:r>
      <w:r>
        <w:rPr>
          <w:lang w:val="en-GB"/>
        </w:rPr>
        <w:t xml:space="preserve">he proportion of malaria cases treated based on a positive lab test </w:t>
      </w:r>
      <w:r w:rsidR="00146A73">
        <w:rPr>
          <w:lang w:val="en-GB"/>
        </w:rPr>
        <w:t xml:space="preserve">have </w:t>
      </w:r>
      <w:r w:rsidR="00710F41">
        <w:rPr>
          <w:lang w:val="en-GB"/>
        </w:rPr>
        <w:t>improved from 79% in FY 2018/19 to 99% in FY 2019/20</w:t>
      </w:r>
      <w:r w:rsidR="007015BB">
        <w:rPr>
          <w:lang w:val="en-GB"/>
        </w:rPr>
        <w:t xml:space="preserve">.  </w:t>
      </w:r>
    </w:p>
    <w:p w:rsidR="00327B82" w:rsidRPr="000343F9" w:rsidRDefault="003D33DE" w:rsidP="000343F9">
      <w:pPr>
        <w:rPr>
          <w:lang w:val="en-GB"/>
        </w:rPr>
      </w:pPr>
      <w:r>
        <w:rPr>
          <w:noProof/>
        </w:rPr>
        <w:lastRenderedPageBreak/>
        <w:drawing>
          <wp:inline distT="0" distB="0" distL="0" distR="0" wp14:anchorId="627520A1" wp14:editId="615F0D11">
            <wp:extent cx="4203700" cy="2855343"/>
            <wp:effectExtent l="0" t="0" r="6350" b="25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40196" w:rsidRDefault="00C40196" w:rsidP="00C40196">
      <w:pPr>
        <w:pStyle w:val="Caption"/>
        <w:keepNext/>
      </w:pPr>
    </w:p>
    <w:p w:rsidR="00297E7E" w:rsidRDefault="00297E7E">
      <w:pPr>
        <w:rPr>
          <w:lang w:val="en-GB"/>
        </w:rPr>
      </w:pPr>
    </w:p>
    <w:p w:rsidR="00834CD6" w:rsidRDefault="00834CD6" w:rsidP="002A5D79">
      <w:pPr>
        <w:pStyle w:val="Heading3"/>
        <w:rPr>
          <w:lang w:val="en-GB"/>
        </w:rPr>
      </w:pPr>
      <w:bookmarkStart w:id="16" w:name="_Toc53399912"/>
      <w:r>
        <w:rPr>
          <w:lang w:val="en-GB"/>
        </w:rPr>
        <w:t>Malaria channel</w:t>
      </w:r>
      <w:bookmarkEnd w:id="16"/>
    </w:p>
    <w:p w:rsidR="00BE0E87" w:rsidRDefault="009B0019">
      <w:pPr>
        <w:rPr>
          <w:lang w:val="en-GB"/>
        </w:rPr>
      </w:pPr>
      <w:r>
        <w:rPr>
          <w:noProof/>
        </w:rPr>
        <w:drawing>
          <wp:inline distT="0" distB="0" distL="0" distR="0" wp14:anchorId="24BA9F4A" wp14:editId="347EA8FB">
            <wp:extent cx="4313208" cy="2837815"/>
            <wp:effectExtent l="0" t="0" r="1143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4CD6" w:rsidRDefault="00834CD6">
      <w:pPr>
        <w:rPr>
          <w:lang w:val="en-GB"/>
        </w:rPr>
      </w:pPr>
    </w:p>
    <w:p w:rsidR="007015BB" w:rsidRDefault="007015BB">
      <w:pPr>
        <w:rPr>
          <w:lang w:val="en-GB"/>
        </w:rPr>
      </w:pPr>
      <w:r>
        <w:rPr>
          <w:lang w:val="en-GB"/>
        </w:rPr>
        <w:t>The malaria channel shows reduced malaria cases over time probably due to the mass distr</w:t>
      </w:r>
      <w:r w:rsidR="00A93EBB">
        <w:rPr>
          <w:lang w:val="en-GB"/>
        </w:rPr>
        <w:t>ibution of mosquito nets</w:t>
      </w:r>
      <w:r>
        <w:rPr>
          <w:lang w:val="en-GB"/>
        </w:rPr>
        <w:t xml:space="preserve">. </w:t>
      </w:r>
    </w:p>
    <w:p w:rsidR="00834CD6" w:rsidRDefault="00834CD6" w:rsidP="002A5D79">
      <w:pPr>
        <w:pStyle w:val="Heading2"/>
        <w:rPr>
          <w:lang w:val="en-GB"/>
        </w:rPr>
      </w:pPr>
      <w:bookmarkStart w:id="17" w:name="_Toc53399913"/>
      <w:r>
        <w:rPr>
          <w:lang w:val="en-GB"/>
        </w:rPr>
        <w:t>Tuberculosis</w:t>
      </w:r>
      <w:bookmarkEnd w:id="17"/>
    </w:p>
    <w:p w:rsidR="00562EDE" w:rsidRDefault="00481497" w:rsidP="002A5D79">
      <w:pPr>
        <w:pStyle w:val="Heading3"/>
        <w:rPr>
          <w:lang w:val="en-GB"/>
        </w:rPr>
      </w:pPr>
      <w:bookmarkStart w:id="18" w:name="_Toc53399914"/>
      <w:r>
        <w:rPr>
          <w:lang w:val="en-GB"/>
        </w:rPr>
        <w:t>Case notification rates</w:t>
      </w:r>
      <w:bookmarkEnd w:id="18"/>
    </w:p>
    <w:p w:rsidR="00C40196" w:rsidRPr="00767721" w:rsidRDefault="002E22DA" w:rsidP="00767721">
      <w:pPr>
        <w:rPr>
          <w:lang w:val="en-GB"/>
        </w:rPr>
      </w:pPr>
      <w:r>
        <w:rPr>
          <w:lang w:val="en-GB"/>
        </w:rPr>
        <w:t xml:space="preserve">The district </w:t>
      </w:r>
      <w:r w:rsidR="0094089F">
        <w:rPr>
          <w:lang w:val="en-GB"/>
        </w:rPr>
        <w:t>notified 100</w:t>
      </w:r>
      <w:r w:rsidR="00404FCC">
        <w:rPr>
          <w:lang w:val="en-GB"/>
        </w:rPr>
        <w:t xml:space="preserve">% of </w:t>
      </w:r>
      <w:r w:rsidR="0094089F">
        <w:rPr>
          <w:lang w:val="en-GB"/>
        </w:rPr>
        <w:t xml:space="preserve">all </w:t>
      </w:r>
      <w:r w:rsidR="00404FCC">
        <w:rPr>
          <w:lang w:val="en-GB"/>
        </w:rPr>
        <w:t xml:space="preserve">the expected </w:t>
      </w:r>
      <w:r w:rsidR="0094089F">
        <w:rPr>
          <w:lang w:val="en-GB"/>
        </w:rPr>
        <w:t>forms TB</w:t>
      </w:r>
      <w:r w:rsidR="00832D27">
        <w:rPr>
          <w:lang w:val="en-GB"/>
        </w:rPr>
        <w:t xml:space="preserve">. This was majorly because of the referral hospital which receives cases from both within and outside the region. </w:t>
      </w:r>
      <w:r>
        <w:rPr>
          <w:lang w:val="en-GB"/>
        </w:rPr>
        <w:t>44</w:t>
      </w:r>
      <w:r w:rsidR="00B20FED">
        <w:rPr>
          <w:lang w:val="en-GB"/>
        </w:rPr>
        <w:t xml:space="preserve">% of the cases notified </w:t>
      </w:r>
      <w:r w:rsidR="00BE09D8">
        <w:rPr>
          <w:lang w:val="en-GB"/>
        </w:rPr>
        <w:t xml:space="preserve">were paediatric cases. </w:t>
      </w:r>
      <w:r>
        <w:rPr>
          <w:lang w:val="en-GB"/>
        </w:rPr>
        <w:t>However the sub counties</w:t>
      </w:r>
      <w:r w:rsidR="00832D27">
        <w:rPr>
          <w:lang w:val="en-GB"/>
        </w:rPr>
        <w:t xml:space="preserve"> of </w:t>
      </w:r>
      <w:proofErr w:type="spellStart"/>
      <w:r>
        <w:rPr>
          <w:lang w:val="en-GB"/>
        </w:rPr>
        <w:t>Mafubira</w:t>
      </w:r>
      <w:proofErr w:type="spellEnd"/>
      <w:r>
        <w:rPr>
          <w:lang w:val="en-GB"/>
        </w:rPr>
        <w:t xml:space="preserve">, </w:t>
      </w:r>
      <w:proofErr w:type="spellStart"/>
      <w:r>
        <w:rPr>
          <w:lang w:val="en-GB"/>
        </w:rPr>
        <w:t>Kakira</w:t>
      </w:r>
      <w:proofErr w:type="spellEnd"/>
      <w:r>
        <w:rPr>
          <w:lang w:val="en-GB"/>
        </w:rPr>
        <w:t xml:space="preserve">, </w:t>
      </w:r>
      <w:proofErr w:type="spellStart"/>
      <w:r>
        <w:rPr>
          <w:lang w:val="en-GB"/>
        </w:rPr>
        <w:t>Buyengo</w:t>
      </w:r>
      <w:proofErr w:type="spellEnd"/>
      <w:r>
        <w:rPr>
          <w:lang w:val="en-GB"/>
        </w:rPr>
        <w:t xml:space="preserve">, </w:t>
      </w:r>
      <w:proofErr w:type="spellStart"/>
      <w:r>
        <w:rPr>
          <w:lang w:val="en-GB"/>
        </w:rPr>
        <w:t>Buwenge</w:t>
      </w:r>
      <w:proofErr w:type="spellEnd"/>
      <w:r>
        <w:rPr>
          <w:lang w:val="en-GB"/>
        </w:rPr>
        <w:t xml:space="preserve"> Rural</w:t>
      </w:r>
      <w:r w:rsidR="0094089F">
        <w:rPr>
          <w:lang w:val="en-GB"/>
        </w:rPr>
        <w:t xml:space="preserve">, </w:t>
      </w:r>
      <w:proofErr w:type="spellStart"/>
      <w:r w:rsidR="0094089F">
        <w:rPr>
          <w:lang w:val="en-GB"/>
        </w:rPr>
        <w:t>Butagaya</w:t>
      </w:r>
      <w:proofErr w:type="spellEnd"/>
      <w:r>
        <w:rPr>
          <w:lang w:val="en-GB"/>
        </w:rPr>
        <w:t xml:space="preserve"> and </w:t>
      </w:r>
      <w:proofErr w:type="spellStart"/>
      <w:r>
        <w:rPr>
          <w:lang w:val="en-GB"/>
        </w:rPr>
        <w:t>Busedde</w:t>
      </w:r>
      <w:proofErr w:type="spellEnd"/>
      <w:r w:rsidR="00832D27">
        <w:rPr>
          <w:lang w:val="en-GB"/>
        </w:rPr>
        <w:t xml:space="preserve"> were b</w:t>
      </w:r>
      <w:r w:rsidR="0094089F">
        <w:rPr>
          <w:lang w:val="en-GB"/>
        </w:rPr>
        <w:t>elow their target</w:t>
      </w:r>
      <w:r w:rsidR="00832D27">
        <w:rPr>
          <w:lang w:val="en-GB"/>
        </w:rPr>
        <w:t xml:space="preserve">. </w:t>
      </w:r>
    </w:p>
    <w:p w:rsidR="00562EDE" w:rsidRDefault="00BD678F">
      <w:pPr>
        <w:rPr>
          <w:lang w:val="en-GB"/>
        </w:rPr>
      </w:pPr>
      <w:r w:rsidRPr="00BD678F">
        <w:rPr>
          <w:noProof/>
        </w:rPr>
        <w:drawing>
          <wp:inline distT="0" distB="0" distL="0" distR="0">
            <wp:extent cx="4203700" cy="2971710"/>
            <wp:effectExtent l="0" t="0" r="6350" b="635"/>
            <wp:docPr id="9" name="Picture 9" descr="C:\Users\Jinja\Desktop\New 2020\All files Desk top\Maps\TB CNR 19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ja\Desktop\New 2020\All files Desk top\Maps\TB CNR 19 2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3700" cy="2971710"/>
                    </a:xfrm>
                    <a:prstGeom prst="rect">
                      <a:avLst/>
                    </a:prstGeom>
                    <a:noFill/>
                    <a:ln>
                      <a:noFill/>
                    </a:ln>
                  </pic:spPr>
                </pic:pic>
              </a:graphicData>
            </a:graphic>
          </wp:inline>
        </w:drawing>
      </w:r>
    </w:p>
    <w:p w:rsidR="007823FC" w:rsidRDefault="007823FC">
      <w:pPr>
        <w:rPr>
          <w:lang w:val="en-GB"/>
        </w:rPr>
      </w:pPr>
    </w:p>
    <w:p w:rsidR="00B8271E" w:rsidRDefault="00B8271E">
      <w:pPr>
        <w:rPr>
          <w:lang w:val="en-GB"/>
        </w:rPr>
      </w:pPr>
    </w:p>
    <w:p w:rsidR="00B01983" w:rsidRDefault="00B01983">
      <w:pPr>
        <w:rPr>
          <w:lang w:val="en-GB"/>
        </w:rPr>
      </w:pPr>
    </w:p>
    <w:p w:rsidR="00481497" w:rsidRDefault="00481497" w:rsidP="002A5D79">
      <w:pPr>
        <w:pStyle w:val="Heading3"/>
        <w:rPr>
          <w:lang w:val="en-GB"/>
        </w:rPr>
      </w:pPr>
      <w:bookmarkStart w:id="19" w:name="_Toc53399915"/>
      <w:r>
        <w:rPr>
          <w:lang w:val="en-GB"/>
        </w:rPr>
        <w:lastRenderedPageBreak/>
        <w:t>Treatment outcomes</w:t>
      </w:r>
      <w:bookmarkEnd w:id="19"/>
    </w:p>
    <w:p w:rsidR="00D1640B" w:rsidRDefault="00D1640B">
      <w:pPr>
        <w:rPr>
          <w:lang w:val="en-GB"/>
        </w:rPr>
      </w:pPr>
      <w:r>
        <w:rPr>
          <w:lang w:val="en-GB"/>
        </w:rPr>
        <w:t>T</w:t>
      </w:r>
      <w:r w:rsidR="006823D2">
        <w:rPr>
          <w:lang w:val="en-GB"/>
        </w:rPr>
        <w:t>h</w:t>
      </w:r>
      <w:r w:rsidR="00C37ABD">
        <w:rPr>
          <w:lang w:val="en-GB"/>
        </w:rPr>
        <w:t xml:space="preserve">e treatment success rate increased from </w:t>
      </w:r>
      <w:r w:rsidR="006823D2">
        <w:rPr>
          <w:lang w:val="en-GB"/>
        </w:rPr>
        <w:t xml:space="preserve">53% in FY 2018/19 </w:t>
      </w:r>
      <w:r w:rsidR="00C37ABD">
        <w:rPr>
          <w:lang w:val="en-GB"/>
        </w:rPr>
        <w:t xml:space="preserve">to 64% in FY 2019/20. However this is still below the national target of 90% as well as the district target of </w:t>
      </w:r>
      <w:r w:rsidR="006823D2">
        <w:rPr>
          <w:lang w:val="en-GB"/>
        </w:rPr>
        <w:t>80%. The cure rate for pulmonary TB was 47% in FY 2018/19 against a target of 65%</w:t>
      </w:r>
      <w:r w:rsidR="009A4AF0">
        <w:rPr>
          <w:lang w:val="en-GB"/>
        </w:rPr>
        <w:t>.</w:t>
      </w:r>
    </w:p>
    <w:p w:rsidR="007823FC" w:rsidRDefault="00213A74">
      <w:pPr>
        <w:rPr>
          <w:lang w:val="en-GB"/>
        </w:rPr>
      </w:pPr>
      <w:r>
        <w:rPr>
          <w:noProof/>
        </w:rPr>
        <w:drawing>
          <wp:inline distT="0" distB="0" distL="0" distR="0">
            <wp:extent cx="4391960" cy="3088257"/>
            <wp:effectExtent l="0" t="0" r="8890" b="171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7ABD" w:rsidRPr="004D7408" w:rsidRDefault="00C37ABD" w:rsidP="004D7408">
      <w:pPr>
        <w:pStyle w:val="Heading3"/>
      </w:pPr>
      <w:bookmarkStart w:id="20" w:name="_Toc53399916"/>
      <w:r w:rsidRPr="004D7408">
        <w:t>Treatment Success rate by HF</w:t>
      </w:r>
      <w:bookmarkEnd w:id="20"/>
    </w:p>
    <w:p w:rsidR="009A4AF0" w:rsidRDefault="00926996">
      <w:pPr>
        <w:rPr>
          <w:lang w:val="en-GB"/>
        </w:rPr>
      </w:pPr>
      <w:r>
        <w:rPr>
          <w:noProof/>
        </w:rPr>
        <w:drawing>
          <wp:inline distT="0" distB="0" distL="0" distR="0" wp14:anchorId="0D8BBCF6" wp14:editId="78997C7B">
            <wp:extent cx="4339087" cy="2631057"/>
            <wp:effectExtent l="0" t="0" r="4445" b="171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4CD6" w:rsidRDefault="00834CD6" w:rsidP="002A5D79">
      <w:pPr>
        <w:pStyle w:val="Heading2"/>
        <w:rPr>
          <w:lang w:val="en-GB"/>
        </w:rPr>
      </w:pPr>
      <w:bookmarkStart w:id="21" w:name="_Toc53399917"/>
      <w:r>
        <w:rPr>
          <w:lang w:val="en-GB"/>
        </w:rPr>
        <w:t>HIV/AIDS</w:t>
      </w:r>
      <w:bookmarkEnd w:id="21"/>
    </w:p>
    <w:p w:rsidR="00A5520F" w:rsidRDefault="00C81345">
      <w:pPr>
        <w:rPr>
          <w:lang w:val="en-GB"/>
        </w:rPr>
      </w:pPr>
      <w:r>
        <w:rPr>
          <w:lang w:val="en-GB"/>
        </w:rPr>
        <w:t xml:space="preserve">The health sector managed to initiate 77% of the identified HIV+ clients on ART treatment. In addition, 73% of clients who were put on treatment one year back were still alive on treatment. </w:t>
      </w:r>
    </w:p>
    <w:p w:rsidR="002A5D79" w:rsidRDefault="002A5D79" w:rsidP="002A5D79">
      <w:pPr>
        <w:pStyle w:val="Heading3"/>
        <w:rPr>
          <w:lang w:val="en-GB"/>
        </w:rPr>
      </w:pPr>
      <w:bookmarkStart w:id="22" w:name="_Toc53399918"/>
      <w:r>
        <w:rPr>
          <w:lang w:val="en-GB"/>
        </w:rPr>
        <w:t>ART initiation rates by S/C</w:t>
      </w:r>
      <w:bookmarkEnd w:id="22"/>
    </w:p>
    <w:p w:rsidR="009C5431" w:rsidRDefault="006C7CC2">
      <w:pPr>
        <w:rPr>
          <w:lang w:val="en-GB"/>
        </w:rPr>
      </w:pPr>
      <w:r w:rsidRPr="006C7CC2">
        <w:rPr>
          <w:noProof/>
        </w:rPr>
        <w:drawing>
          <wp:inline distT="0" distB="0" distL="0" distR="0">
            <wp:extent cx="4203700" cy="2971710"/>
            <wp:effectExtent l="0" t="0" r="6350" b="635"/>
            <wp:docPr id="10" name="Picture 10" descr="C:\Users\Jinja\Desktop\New 2020\All files Desk top\Maps\ART initiation rates 19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ja\Desktop\New 2020\All files Desk top\Maps\ART initiation rates 19 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3700" cy="2971710"/>
                    </a:xfrm>
                    <a:prstGeom prst="rect">
                      <a:avLst/>
                    </a:prstGeom>
                    <a:noFill/>
                    <a:ln>
                      <a:noFill/>
                    </a:ln>
                  </pic:spPr>
                </pic:pic>
              </a:graphicData>
            </a:graphic>
          </wp:inline>
        </w:drawing>
      </w:r>
    </w:p>
    <w:p w:rsidR="00272935" w:rsidRDefault="001F7F90" w:rsidP="001F7F90">
      <w:pPr>
        <w:pStyle w:val="Heading3"/>
        <w:rPr>
          <w:lang w:val="en-GB"/>
        </w:rPr>
      </w:pPr>
      <w:bookmarkStart w:id="23" w:name="_Toc53399919"/>
      <w:r>
        <w:rPr>
          <w:lang w:val="en-GB"/>
        </w:rPr>
        <w:lastRenderedPageBreak/>
        <w:t>ART Retention rates by S/C</w:t>
      </w:r>
      <w:bookmarkEnd w:id="23"/>
    </w:p>
    <w:p w:rsidR="00353F7E" w:rsidRDefault="00297C42" w:rsidP="00291234">
      <w:pPr>
        <w:rPr>
          <w:lang w:val="en-GB"/>
        </w:rPr>
      </w:pPr>
      <w:r>
        <w:rPr>
          <w:noProof/>
        </w:rPr>
        <w:drawing>
          <wp:inline distT="0" distB="0" distL="0" distR="0" wp14:anchorId="100D0534" wp14:editId="4A798860">
            <wp:extent cx="4203700" cy="2967486"/>
            <wp:effectExtent l="0" t="0" r="635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53F7E" w:rsidRDefault="00353F7E" w:rsidP="00291234">
      <w:pPr>
        <w:rPr>
          <w:lang w:val="en-GB"/>
        </w:rPr>
      </w:pPr>
    </w:p>
    <w:p w:rsidR="00834CD6" w:rsidRDefault="00C8529B" w:rsidP="00294ECC">
      <w:pPr>
        <w:pStyle w:val="Heading2"/>
        <w:rPr>
          <w:lang w:val="en-GB"/>
        </w:rPr>
      </w:pPr>
      <w:bookmarkStart w:id="24" w:name="_Toc53399920"/>
      <w:r>
        <w:rPr>
          <w:lang w:val="en-GB"/>
        </w:rPr>
        <w:t>Reporting rates</w:t>
      </w:r>
      <w:bookmarkEnd w:id="24"/>
    </w:p>
    <w:p w:rsidR="00372C81" w:rsidRDefault="00970F81">
      <w:pPr>
        <w:rPr>
          <w:lang w:val="en-GB"/>
        </w:rPr>
      </w:pPr>
      <w:r>
        <w:rPr>
          <w:lang w:val="en-GB"/>
        </w:rPr>
        <w:t>The rep</w:t>
      </w:r>
      <w:r w:rsidR="003D0AC3">
        <w:rPr>
          <w:lang w:val="en-GB"/>
        </w:rPr>
        <w:t>orting rates were analysed for 4</w:t>
      </w:r>
      <w:r>
        <w:rPr>
          <w:lang w:val="en-GB"/>
        </w:rPr>
        <w:t xml:space="preserve"> key routine repor</w:t>
      </w:r>
      <w:r w:rsidR="003D0AC3">
        <w:rPr>
          <w:lang w:val="en-GB"/>
        </w:rPr>
        <w:t xml:space="preserve">ts </w:t>
      </w:r>
      <w:proofErr w:type="spellStart"/>
      <w:r w:rsidR="003D0AC3">
        <w:rPr>
          <w:lang w:val="en-GB"/>
        </w:rPr>
        <w:t>i.e</w:t>
      </w:r>
      <w:proofErr w:type="spellEnd"/>
      <w:r w:rsidR="003D0AC3">
        <w:rPr>
          <w:lang w:val="en-GB"/>
        </w:rPr>
        <w:t xml:space="preserve"> </w:t>
      </w:r>
      <w:r>
        <w:rPr>
          <w:lang w:val="en-GB"/>
        </w:rPr>
        <w:t>weekly surveillance report (HMIS 033B), quarterly VHT/ICCM</w:t>
      </w:r>
      <w:r w:rsidR="003D0AC3">
        <w:rPr>
          <w:lang w:val="en-GB"/>
        </w:rPr>
        <w:t xml:space="preserve"> report (HMIS 097), OPD report (HMIS 105</w:t>
      </w:r>
      <w:r>
        <w:rPr>
          <w:lang w:val="en-GB"/>
        </w:rPr>
        <w:t>) and the quarterly HIV &amp; TB services report</w:t>
      </w:r>
      <w:r w:rsidR="001E7CE7">
        <w:rPr>
          <w:lang w:val="en-GB"/>
        </w:rPr>
        <w:t xml:space="preserve"> (HMIS 106a). </w:t>
      </w:r>
      <w:r w:rsidR="003D0AC3">
        <w:rPr>
          <w:lang w:val="en-GB"/>
        </w:rPr>
        <w:t>The</w:t>
      </w:r>
      <w:r w:rsidR="001E7CE7">
        <w:rPr>
          <w:lang w:val="en-GB"/>
        </w:rPr>
        <w:t xml:space="preserve"> </w:t>
      </w:r>
      <w:r w:rsidR="00BC24F3">
        <w:rPr>
          <w:lang w:val="en-GB"/>
        </w:rPr>
        <w:t>situation did not change much from th</w:t>
      </w:r>
      <w:r w:rsidR="00E45A23">
        <w:rPr>
          <w:lang w:val="en-GB"/>
        </w:rPr>
        <w:t>e</w:t>
      </w:r>
      <w:r w:rsidR="00BC24F3">
        <w:rPr>
          <w:lang w:val="en-GB"/>
        </w:rPr>
        <w:t xml:space="preserve"> previous financial year especially with the Surveillance weekly report. However although the quarterly VHT/ICCM reporting rates were low at 35%, there is an improvement worth noting from 19% in FY 2018/19. </w:t>
      </w:r>
    </w:p>
    <w:p w:rsidR="00970F81" w:rsidRPr="001E7CE7" w:rsidRDefault="00C33155" w:rsidP="001E7CE7">
      <w:pPr>
        <w:rPr>
          <w:lang w:val="en-GB"/>
        </w:rPr>
      </w:pPr>
      <w:r w:rsidRPr="00C33155">
        <w:rPr>
          <w:noProof/>
        </w:rPr>
        <w:drawing>
          <wp:inline distT="0" distB="0" distL="0" distR="0">
            <wp:extent cx="4203700" cy="2971710"/>
            <wp:effectExtent l="0" t="0" r="6350" b="635"/>
            <wp:docPr id="5" name="Picture 5" descr="C:\Users\Jinja\Desktop\New 2020\All files Desk top\Maps\Weekly report 19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ja\Desktop\New 2020\All files Desk top\Maps\Weekly report 19 2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03700" cy="2971710"/>
                    </a:xfrm>
                    <a:prstGeom prst="rect">
                      <a:avLst/>
                    </a:prstGeom>
                    <a:noFill/>
                    <a:ln>
                      <a:noFill/>
                    </a:ln>
                  </pic:spPr>
                </pic:pic>
              </a:graphicData>
            </a:graphic>
          </wp:inline>
        </w:drawing>
      </w:r>
      <w:r w:rsidR="006D60A3">
        <w:rPr>
          <w:noProof/>
        </w:rPr>
        <w:drawing>
          <wp:inline distT="0" distB="0" distL="0" distR="0" wp14:anchorId="7B2C272B" wp14:editId="67E78D76">
            <wp:extent cx="4339087" cy="3622675"/>
            <wp:effectExtent l="0" t="0" r="4445"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72C81" w:rsidRPr="00353F7E" w:rsidRDefault="00372C81" w:rsidP="00970F81">
      <w:pPr>
        <w:pStyle w:val="Caption"/>
      </w:pPr>
    </w:p>
    <w:p w:rsidR="006D60A3" w:rsidRDefault="006D60A3">
      <w:pPr>
        <w:rPr>
          <w:lang w:val="en-GB"/>
        </w:rPr>
      </w:pPr>
      <w:r>
        <w:rPr>
          <w:noProof/>
        </w:rPr>
        <w:lastRenderedPageBreak/>
        <w:drawing>
          <wp:inline distT="0" distB="0" distL="0" distR="0" wp14:anchorId="5226C40B" wp14:editId="343BB689">
            <wp:extent cx="4394835" cy="3044621"/>
            <wp:effectExtent l="0" t="0" r="5715" b="38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2C81" w:rsidRDefault="00372C81">
      <w:pPr>
        <w:rPr>
          <w:lang w:val="en-GB"/>
        </w:rPr>
      </w:pPr>
      <w:r>
        <w:rPr>
          <w:noProof/>
        </w:rPr>
        <w:drawing>
          <wp:inline distT="0" distB="0" distL="0" distR="0" wp14:anchorId="71D665C1" wp14:editId="490AA1F6">
            <wp:extent cx="4394835" cy="3202940"/>
            <wp:effectExtent l="0" t="0" r="5715"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92713" w:rsidRDefault="00D92713" w:rsidP="0074243C">
      <w:pPr>
        <w:pStyle w:val="Heading1"/>
        <w:rPr>
          <w:lang w:val="en-GB"/>
        </w:rPr>
      </w:pPr>
      <w:bookmarkStart w:id="25" w:name="_Toc53399921"/>
      <w:r>
        <w:rPr>
          <w:lang w:val="en-GB"/>
        </w:rPr>
        <w:t>Medicines availability</w:t>
      </w:r>
      <w:bookmarkEnd w:id="25"/>
      <w:r>
        <w:rPr>
          <w:lang w:val="en-GB"/>
        </w:rPr>
        <w:t xml:space="preserve"> </w:t>
      </w:r>
    </w:p>
    <w:p w:rsidR="00D92713" w:rsidRDefault="00D92713">
      <w:pPr>
        <w:rPr>
          <w:lang w:val="en-GB"/>
        </w:rPr>
      </w:pPr>
      <w:r>
        <w:rPr>
          <w:lang w:val="en-GB"/>
        </w:rPr>
        <w:t>29% of the health facilities reported no stock out of the essential medicines listed in the table below</w:t>
      </w:r>
    </w:p>
    <w:p w:rsidR="00D92713" w:rsidRDefault="00D92713">
      <w:pPr>
        <w:rPr>
          <w:lang w:val="en-GB"/>
        </w:rPr>
      </w:pPr>
      <w:r>
        <w:rPr>
          <w:noProof/>
        </w:rPr>
        <w:drawing>
          <wp:inline distT="0" distB="0" distL="0" distR="0" wp14:anchorId="1BCD21B3">
            <wp:extent cx="5008220" cy="3191773"/>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5243" cy="3196249"/>
                    </a:xfrm>
                    <a:prstGeom prst="rect">
                      <a:avLst/>
                    </a:prstGeom>
                    <a:noFill/>
                  </pic:spPr>
                </pic:pic>
              </a:graphicData>
            </a:graphic>
          </wp:inline>
        </w:drawing>
      </w:r>
    </w:p>
    <w:p w:rsidR="00D92713" w:rsidRDefault="00D92713">
      <w:pPr>
        <w:rPr>
          <w:lang w:val="en-GB"/>
        </w:rPr>
      </w:pPr>
    </w:p>
    <w:p w:rsidR="00372C81" w:rsidRDefault="00372C81">
      <w:pPr>
        <w:rPr>
          <w:lang w:val="en-GB"/>
        </w:rPr>
      </w:pPr>
    </w:p>
    <w:p w:rsidR="00AA3285" w:rsidRPr="00332426" w:rsidRDefault="00AA3285" w:rsidP="00332426">
      <w:pPr>
        <w:pStyle w:val="Heading1"/>
        <w:rPr>
          <w:lang w:val="en-GB"/>
        </w:rPr>
      </w:pPr>
      <w:bookmarkStart w:id="26" w:name="_Toc53399922"/>
      <w:r>
        <w:rPr>
          <w:lang w:val="en-GB"/>
        </w:rPr>
        <w:t>RED performance for FY 2019/2020</w:t>
      </w:r>
      <w:bookmarkEnd w:id="26"/>
    </w:p>
    <w:p w:rsidR="00AA3285" w:rsidRDefault="00AA3285">
      <w:pPr>
        <w:rPr>
          <w:lang w:val="en-GB"/>
        </w:rPr>
      </w:pPr>
    </w:p>
    <w:p w:rsidR="00AA3285" w:rsidRDefault="00361271">
      <w:pPr>
        <w:rPr>
          <w:lang w:val="en-GB"/>
        </w:rPr>
        <w:sectPr w:rsidR="00AA3285" w:rsidSect="002A2EAC">
          <w:type w:val="continuous"/>
          <w:pgSz w:w="16840" w:h="23820" w:code="8"/>
          <w:pgMar w:top="1440" w:right="1440" w:bottom="1440" w:left="1440" w:header="720" w:footer="720" w:gutter="0"/>
          <w:cols w:num="2" w:space="720"/>
          <w:titlePg/>
          <w:docGrid w:linePitch="360"/>
        </w:sectPr>
      </w:pPr>
      <w:r>
        <w:rPr>
          <w:lang w:val="en-GB"/>
        </w:rPr>
        <w:object w:dxaOrig="1543" w:dyaOrig="995">
          <v:shape id="_x0000_i1025" type="#_x0000_t75" style="width:77pt;height:49.4pt" o:ole="">
            <v:imagedata r:id="rId29" o:title=""/>
          </v:shape>
          <o:OLEObject Type="Embed" ProgID="Excel.Sheet.8" ShapeID="_x0000_i1025" DrawAspect="Icon" ObjectID="_1664012674" r:id="rId30"/>
        </w:object>
      </w:r>
    </w:p>
    <w:p w:rsidR="00B679B5" w:rsidRDefault="00B679B5">
      <w:pPr>
        <w:rPr>
          <w:lang w:val="en-GB"/>
        </w:rPr>
      </w:pPr>
    </w:p>
    <w:p w:rsidR="000343F9" w:rsidRDefault="00C231C1" w:rsidP="00BF1AC7">
      <w:pPr>
        <w:pStyle w:val="Heading1"/>
        <w:rPr>
          <w:lang w:val="en-GB"/>
        </w:rPr>
      </w:pPr>
      <w:bookmarkStart w:id="27" w:name="_Toc53399923"/>
      <w:r>
        <w:rPr>
          <w:lang w:val="en-GB"/>
        </w:rPr>
        <w:lastRenderedPageBreak/>
        <w:t>Summary of performance</w:t>
      </w:r>
      <w:bookmarkEnd w:id="27"/>
    </w:p>
    <w:p w:rsidR="00C231C1" w:rsidRDefault="00BF1AC7">
      <w:pPr>
        <w:rPr>
          <w:lang w:val="en-GB"/>
        </w:rPr>
      </w:pPr>
      <w:r>
        <w:rPr>
          <w:lang w:val="en-GB"/>
        </w:rPr>
        <w:t xml:space="preserve">The health sector performance was fair on average considering the performance indicators listed in the table below. </w:t>
      </w:r>
    </w:p>
    <w:tbl>
      <w:tblPr>
        <w:tblW w:w="12540" w:type="dxa"/>
        <w:tblCellMar>
          <w:left w:w="0" w:type="dxa"/>
          <w:right w:w="0" w:type="dxa"/>
        </w:tblCellMar>
        <w:tblLook w:val="0420" w:firstRow="1" w:lastRow="0" w:firstColumn="0" w:lastColumn="0" w:noHBand="0" w:noVBand="1"/>
      </w:tblPr>
      <w:tblGrid>
        <w:gridCol w:w="5944"/>
        <w:gridCol w:w="2410"/>
        <w:gridCol w:w="2409"/>
        <w:gridCol w:w="1777"/>
      </w:tblGrid>
      <w:tr w:rsidR="004C0130" w:rsidRPr="004C0130"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b/>
                <w:bCs/>
                <w:lang w:val="en-GB"/>
              </w:rPr>
              <w:t>Indicator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b/>
                <w:bCs/>
                <w:lang w:val="en-GB"/>
              </w:rPr>
              <w:t>Achievement</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b/>
                <w:bCs/>
                <w:lang w:val="en-GB"/>
              </w:rPr>
              <w:t xml:space="preserve">National target </w:t>
            </w:r>
          </w:p>
        </w:tc>
        <w:tc>
          <w:tcPr>
            <w:tcW w:w="1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b/>
                <w:bCs/>
              </w:rPr>
              <w:t>Color code</w:t>
            </w:r>
          </w:p>
        </w:tc>
      </w:tr>
      <w:tr w:rsidR="004C0130" w:rsidRPr="004C0130"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lang w:val="en-GB"/>
              </w:rPr>
              <w:t>Maternal Mortality Rate</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9080E" w:rsidP="00BF1AC7">
            <w:pPr>
              <w:spacing w:line="180" w:lineRule="exact"/>
            </w:pPr>
            <w:r>
              <w:t>249/100,000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lang w:val="en-GB"/>
              </w:rPr>
              <w:t>320/100,000</w:t>
            </w:r>
          </w:p>
        </w:tc>
        <w:tc>
          <w:tcPr>
            <w:tcW w:w="1777"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4C0130" w:rsidRPr="004C0130" w:rsidRDefault="004C0130" w:rsidP="00BF1AC7">
            <w:pPr>
              <w:spacing w:line="180" w:lineRule="exact"/>
            </w:pPr>
          </w:p>
        </w:tc>
      </w:tr>
      <w:tr w:rsidR="004C0130" w:rsidRPr="004C0130"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lang w:val="en-GB"/>
              </w:rPr>
              <w:t>Neonatal Mortality Rate</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lang w:val="en-GB"/>
              </w:rPr>
              <w:t>8/1,000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lang w:val="en-GB"/>
              </w:rPr>
              <w:t>16/1,000</w:t>
            </w:r>
          </w:p>
        </w:tc>
        <w:tc>
          <w:tcPr>
            <w:tcW w:w="1777"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4C0130" w:rsidRPr="004C0130" w:rsidRDefault="004C0130" w:rsidP="00BF1AC7">
            <w:pPr>
              <w:spacing w:line="180" w:lineRule="exact"/>
            </w:pPr>
          </w:p>
        </w:tc>
      </w:tr>
      <w:tr w:rsidR="004C0130" w:rsidRPr="004C0130"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lang w:val="en-GB"/>
              </w:rPr>
              <w:t>Under 5 mortality rate</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lang w:val="en-GB"/>
              </w:rPr>
              <w:t>6/1,000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lang w:val="en-GB"/>
              </w:rPr>
              <w:t>51/1,000</w:t>
            </w:r>
          </w:p>
        </w:tc>
        <w:tc>
          <w:tcPr>
            <w:tcW w:w="1777"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4C0130" w:rsidRPr="004C0130" w:rsidRDefault="004C0130" w:rsidP="00BF1AC7">
            <w:pPr>
              <w:spacing w:line="180" w:lineRule="exact"/>
            </w:pPr>
          </w:p>
        </w:tc>
      </w:tr>
      <w:tr w:rsidR="004C0130" w:rsidRPr="004C0130"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lang w:val="en-GB"/>
              </w:rPr>
              <w:t>Teenage pregnancy rate</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lang w:val="en-GB"/>
              </w:rPr>
              <w:t>17%</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lang w:val="en-GB"/>
              </w:rPr>
              <w:t>14%</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C0130" w:rsidRPr="004C0130" w:rsidRDefault="004C0130" w:rsidP="00BF1AC7">
            <w:pPr>
              <w:spacing w:line="180" w:lineRule="exact"/>
            </w:pPr>
          </w:p>
        </w:tc>
      </w:tr>
      <w:tr w:rsidR="004C0130" w:rsidRPr="004C0130"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t>ART initiation rate</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t>77%</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t>80%</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C0130" w:rsidRPr="004C0130" w:rsidRDefault="004C0130" w:rsidP="00BF1AC7">
            <w:pPr>
              <w:spacing w:line="180" w:lineRule="exact"/>
            </w:pPr>
          </w:p>
        </w:tc>
      </w:tr>
      <w:tr w:rsidR="004C0130" w:rsidRPr="004C0130"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t>Option B+</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1538B5" w:rsidP="00BF1AC7">
            <w:pPr>
              <w:spacing w:line="180" w:lineRule="exact"/>
            </w:pPr>
            <w:r>
              <w:t>97</w:t>
            </w:r>
            <w:r w:rsidR="004C0130" w:rsidRPr="004C0130">
              <w:t>%</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t>95%</w:t>
            </w:r>
          </w:p>
        </w:tc>
        <w:tc>
          <w:tcPr>
            <w:tcW w:w="1777"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4C0130" w:rsidRPr="004C0130" w:rsidRDefault="004C0130" w:rsidP="00BF1AC7">
            <w:pPr>
              <w:spacing w:line="180" w:lineRule="exact"/>
            </w:pPr>
          </w:p>
        </w:tc>
      </w:tr>
      <w:tr w:rsidR="004C0130" w:rsidRPr="004C0130"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t>IPT3</w:t>
            </w:r>
            <w:r w:rsidR="0074243C">
              <w:t xml:space="preserve"> coverage</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1538B5" w:rsidP="00BF1AC7">
            <w:pPr>
              <w:spacing w:line="180" w:lineRule="exact"/>
            </w:pPr>
            <w:r>
              <w:t>28</w:t>
            </w:r>
            <w:r w:rsidR="004C0130" w:rsidRPr="004C0130">
              <w:t>%</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t>93%</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C0130" w:rsidRPr="004C0130" w:rsidRDefault="004C0130" w:rsidP="00BF1AC7">
            <w:pPr>
              <w:spacing w:line="180" w:lineRule="exact"/>
            </w:pPr>
          </w:p>
        </w:tc>
      </w:tr>
      <w:tr w:rsidR="004C0130" w:rsidRPr="004C0130"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lang w:val="en-GB"/>
              </w:rPr>
              <w:t>Malaria deaths per 100,000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5A5FE7" w:rsidP="00BF1AC7">
            <w:pPr>
              <w:spacing w:line="180" w:lineRule="exact"/>
            </w:pPr>
            <w:r>
              <w:t>15/100,000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5A5FE7" w:rsidP="00BF1AC7">
            <w:pPr>
              <w:spacing w:line="180" w:lineRule="exact"/>
            </w:pPr>
            <w:r>
              <w:t>5/10</w:t>
            </w:r>
            <w:r w:rsidR="004C0130" w:rsidRPr="004C0130">
              <w:t>0</w:t>
            </w:r>
            <w:r>
              <w:t>,</w:t>
            </w:r>
            <w:r w:rsidR="004C0130" w:rsidRPr="004C0130">
              <w:t>00</w:t>
            </w:r>
            <w:r>
              <w:t>0</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C0130" w:rsidRPr="004C0130" w:rsidRDefault="004C0130" w:rsidP="00BF1AC7">
            <w:pPr>
              <w:spacing w:line="180" w:lineRule="exact"/>
            </w:pPr>
          </w:p>
        </w:tc>
      </w:tr>
      <w:tr w:rsidR="004C0130" w:rsidRPr="004C0130"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rPr>
                <w:lang w:val="en-GB"/>
              </w:rPr>
              <w:t>Malaria cases per 1000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5A5FE7" w:rsidP="00BF1AC7">
            <w:pPr>
              <w:spacing w:line="180" w:lineRule="exact"/>
            </w:pPr>
            <w:r>
              <w:t>285/1000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0130" w:rsidRPr="004C0130" w:rsidRDefault="004C0130" w:rsidP="00BF1AC7">
            <w:pPr>
              <w:spacing w:line="180" w:lineRule="exact"/>
            </w:pPr>
            <w:r w:rsidRPr="004C0130">
              <w:t>198/1,000</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C0130" w:rsidRPr="004C0130" w:rsidRDefault="004C0130" w:rsidP="00BF1AC7">
            <w:pPr>
              <w:spacing w:line="180" w:lineRule="exact"/>
            </w:pPr>
          </w:p>
        </w:tc>
      </w:tr>
      <w:tr w:rsidR="004066FA" w:rsidRPr="004066FA"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rPr>
                <w:lang w:val="en-GB"/>
              </w:rPr>
            </w:pPr>
            <w:r w:rsidRPr="004066FA">
              <w:rPr>
                <w:lang w:val="en-GB"/>
              </w:rPr>
              <w:t>Vitamin A 2nd dose coverage</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74243C" w:rsidP="00BF1AC7">
            <w:pPr>
              <w:spacing w:line="180" w:lineRule="exact"/>
            </w:pPr>
            <w:r>
              <w:t>14%</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pPr>
            <w:r w:rsidRPr="004066FA">
              <w:t>66%</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066FA" w:rsidRPr="004066FA" w:rsidRDefault="004066FA" w:rsidP="00BF1AC7">
            <w:pPr>
              <w:spacing w:line="180" w:lineRule="exact"/>
            </w:pPr>
          </w:p>
        </w:tc>
      </w:tr>
      <w:tr w:rsidR="004066FA" w:rsidRPr="004066FA"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rPr>
                <w:lang w:val="en-GB"/>
              </w:rPr>
            </w:pPr>
            <w:r w:rsidRPr="004066FA">
              <w:rPr>
                <w:lang w:val="en-GB"/>
              </w:rPr>
              <w:t>DPT3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74243C" w:rsidP="00BF1AC7">
            <w:pPr>
              <w:spacing w:line="180" w:lineRule="exact"/>
            </w:pPr>
            <w:r>
              <w:t>85%</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pPr>
            <w:r w:rsidRPr="004066FA">
              <w:t>97%</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066FA" w:rsidRPr="004066FA" w:rsidRDefault="004066FA" w:rsidP="00BF1AC7">
            <w:pPr>
              <w:spacing w:line="180" w:lineRule="exact"/>
            </w:pPr>
          </w:p>
        </w:tc>
      </w:tr>
      <w:tr w:rsidR="004066FA" w:rsidRPr="004066FA"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rPr>
                <w:lang w:val="en-GB"/>
              </w:rPr>
            </w:pPr>
            <w:r w:rsidRPr="004066FA">
              <w:rPr>
                <w:lang w:val="en-GB"/>
              </w:rPr>
              <w:t>Measles Rubella 1</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74243C" w:rsidP="00BF1AC7">
            <w:pPr>
              <w:spacing w:line="180" w:lineRule="exact"/>
            </w:pPr>
            <w:r>
              <w:t>79%</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pPr>
            <w:r w:rsidRPr="004066FA">
              <w:t>95%</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066FA" w:rsidRPr="004066FA" w:rsidRDefault="004066FA" w:rsidP="00BF1AC7">
            <w:pPr>
              <w:spacing w:line="180" w:lineRule="exact"/>
            </w:pPr>
          </w:p>
        </w:tc>
      </w:tr>
      <w:tr w:rsidR="004066FA" w:rsidRPr="004066FA"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rPr>
                <w:lang w:val="en-GB"/>
              </w:rPr>
            </w:pPr>
            <w:r w:rsidRPr="004066FA">
              <w:rPr>
                <w:lang w:val="en-GB"/>
              </w:rPr>
              <w:t>Average Length of Stay</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pPr>
            <w:r w:rsidRPr="004066FA">
              <w:t>15</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pPr>
            <w:r w:rsidRPr="004066FA">
              <w:t>3</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066FA" w:rsidRPr="004066FA" w:rsidRDefault="004066FA" w:rsidP="00BF1AC7">
            <w:pPr>
              <w:spacing w:line="180" w:lineRule="exact"/>
            </w:pPr>
          </w:p>
        </w:tc>
      </w:tr>
      <w:tr w:rsidR="004066FA" w:rsidRPr="004066FA"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rPr>
                <w:lang w:val="en-GB"/>
              </w:rPr>
            </w:pPr>
            <w:r w:rsidRPr="004066FA">
              <w:rPr>
                <w:lang w:val="en-GB"/>
              </w:rPr>
              <w:t>Bed Occupancy Rate</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pPr>
            <w:r w:rsidRPr="004066FA">
              <w:t>36%</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pPr>
            <w:r w:rsidRPr="004066FA">
              <w:t>90%</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066FA" w:rsidRPr="004066FA" w:rsidRDefault="004066FA" w:rsidP="00BF1AC7">
            <w:pPr>
              <w:spacing w:line="180" w:lineRule="exact"/>
            </w:pPr>
          </w:p>
        </w:tc>
      </w:tr>
      <w:tr w:rsidR="004066FA" w:rsidRPr="004066FA"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rPr>
                <w:lang w:val="en-GB"/>
              </w:rPr>
            </w:pPr>
            <w:r w:rsidRPr="004066FA">
              <w:rPr>
                <w:lang w:val="en-GB"/>
              </w:rPr>
              <w:t>CPR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pPr>
            <w:r w:rsidRPr="004066FA">
              <w:t>53%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pPr>
            <w:r w:rsidRPr="004066FA">
              <w:t>56%</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4066FA" w:rsidRPr="004066FA" w:rsidRDefault="004066FA" w:rsidP="00BF1AC7">
            <w:pPr>
              <w:spacing w:line="180" w:lineRule="exact"/>
            </w:pPr>
          </w:p>
        </w:tc>
      </w:tr>
      <w:tr w:rsidR="004066FA" w:rsidRPr="004066FA"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rPr>
                <w:lang w:val="en-GB"/>
              </w:rPr>
            </w:pPr>
            <w:r w:rsidRPr="004066FA">
              <w:rPr>
                <w:lang w:val="en-GB"/>
              </w:rPr>
              <w:t>ANC4+ coverage</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1538B5" w:rsidP="00BF1AC7">
            <w:pPr>
              <w:spacing w:line="180" w:lineRule="exact"/>
            </w:pPr>
            <w:r>
              <w:t>42%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pPr>
            <w:r w:rsidRPr="004066FA">
              <w:t>45%</w:t>
            </w:r>
          </w:p>
        </w:tc>
        <w:tc>
          <w:tcPr>
            <w:tcW w:w="1777"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4066FA" w:rsidRPr="004066FA" w:rsidRDefault="004066FA" w:rsidP="00BF1AC7">
            <w:pPr>
              <w:spacing w:line="180" w:lineRule="exact"/>
            </w:pPr>
          </w:p>
        </w:tc>
      </w:tr>
      <w:tr w:rsidR="004066FA" w:rsidRPr="004066FA"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rPr>
                <w:lang w:val="en-GB"/>
              </w:rPr>
            </w:pPr>
            <w:r w:rsidRPr="004066FA">
              <w:rPr>
                <w:lang w:val="en-GB"/>
              </w:rPr>
              <w:t>Supervised deliveries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9080E" w:rsidP="00BF1AC7">
            <w:pPr>
              <w:spacing w:line="180" w:lineRule="exact"/>
            </w:pPr>
            <w:r>
              <w:t>94</w:t>
            </w:r>
            <w:r w:rsidR="004066FA" w:rsidRPr="004066FA">
              <w:t>%</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pPr>
            <w:r w:rsidRPr="004066FA">
              <w:t>64%</w:t>
            </w:r>
          </w:p>
        </w:tc>
        <w:tc>
          <w:tcPr>
            <w:tcW w:w="1777"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4066FA" w:rsidRPr="004066FA" w:rsidRDefault="004066FA" w:rsidP="00BF1AC7">
            <w:pPr>
              <w:spacing w:line="180" w:lineRule="exact"/>
            </w:pPr>
          </w:p>
        </w:tc>
      </w:tr>
      <w:tr w:rsidR="004066FA" w:rsidRPr="004066FA"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rPr>
                <w:lang w:val="en-GB"/>
              </w:rPr>
            </w:pPr>
            <w:r w:rsidRPr="004066FA">
              <w:rPr>
                <w:lang w:val="en-GB"/>
              </w:rPr>
              <w:t>Health Centre IVs providing CEMOC</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pPr>
            <w:r w:rsidRPr="004066FA">
              <w:t>60%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066FA" w:rsidRPr="004066FA" w:rsidRDefault="004066FA" w:rsidP="00BF1AC7">
            <w:pPr>
              <w:spacing w:line="180" w:lineRule="exact"/>
            </w:pPr>
            <w:r w:rsidRPr="004066FA">
              <w:t>50%</w:t>
            </w:r>
          </w:p>
        </w:tc>
        <w:tc>
          <w:tcPr>
            <w:tcW w:w="1777"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4066FA" w:rsidRPr="004066FA" w:rsidRDefault="004066FA" w:rsidP="00BF1AC7">
            <w:pPr>
              <w:spacing w:line="180" w:lineRule="exact"/>
            </w:pPr>
          </w:p>
        </w:tc>
      </w:tr>
      <w:tr w:rsidR="00B44322" w:rsidRPr="00B44322"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B44322" w:rsidP="00BF1AC7">
            <w:pPr>
              <w:spacing w:line="180" w:lineRule="exact"/>
              <w:rPr>
                <w:lang w:val="en-GB"/>
              </w:rPr>
            </w:pPr>
            <w:r w:rsidRPr="00B44322">
              <w:rPr>
                <w:lang w:val="en-GB"/>
              </w:rPr>
              <w:t>Fresh Still birth rate</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1538B5" w:rsidP="00BF1AC7">
            <w:pPr>
              <w:spacing w:line="180" w:lineRule="exact"/>
            </w:pPr>
            <w:r>
              <w:t>8</w:t>
            </w:r>
            <w:r w:rsidR="00B44322" w:rsidRPr="00B44322">
              <w:t>/1000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B44322" w:rsidP="00BF1AC7">
            <w:pPr>
              <w:spacing w:line="180" w:lineRule="exact"/>
            </w:pPr>
            <w:r w:rsidRPr="00B44322">
              <w:t>11/1000</w:t>
            </w:r>
          </w:p>
        </w:tc>
        <w:tc>
          <w:tcPr>
            <w:tcW w:w="1777"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44322" w:rsidRPr="00B44322" w:rsidRDefault="00B44322" w:rsidP="00BF1AC7">
            <w:pPr>
              <w:spacing w:line="180" w:lineRule="exact"/>
            </w:pPr>
          </w:p>
        </w:tc>
      </w:tr>
      <w:tr w:rsidR="00B44322" w:rsidRPr="00B44322"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B44322" w:rsidP="00BF1AC7">
            <w:pPr>
              <w:spacing w:line="180" w:lineRule="exact"/>
              <w:rPr>
                <w:lang w:val="en-GB"/>
              </w:rPr>
            </w:pPr>
            <w:r w:rsidRPr="00B44322">
              <w:rPr>
                <w:lang w:val="en-GB"/>
              </w:rPr>
              <w:t>Under 5 deaths among 1000 under 5 admissions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B44322" w:rsidP="00BF1AC7">
            <w:pPr>
              <w:spacing w:line="180" w:lineRule="exact"/>
            </w:pPr>
            <w:r w:rsidRPr="00B44322">
              <w:t>17/1000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B44322" w:rsidP="00BF1AC7">
            <w:pPr>
              <w:spacing w:line="180" w:lineRule="exact"/>
            </w:pPr>
            <w:r w:rsidRPr="00B44322">
              <w:t>16.1/1000</w:t>
            </w:r>
          </w:p>
        </w:tc>
        <w:tc>
          <w:tcPr>
            <w:tcW w:w="1777"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B44322" w:rsidRPr="00B44322" w:rsidRDefault="00B44322" w:rsidP="00BF1AC7">
            <w:pPr>
              <w:spacing w:line="180" w:lineRule="exact"/>
            </w:pPr>
          </w:p>
        </w:tc>
      </w:tr>
      <w:tr w:rsidR="00B44322" w:rsidRPr="00B44322"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B44322" w:rsidP="00BF1AC7">
            <w:pPr>
              <w:spacing w:line="180" w:lineRule="exact"/>
              <w:rPr>
                <w:lang w:val="en-GB"/>
              </w:rPr>
            </w:pPr>
            <w:r w:rsidRPr="00B44322">
              <w:rPr>
                <w:lang w:val="en-GB"/>
              </w:rPr>
              <w:t>ART retention rate</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A42E90" w:rsidP="00BF1AC7">
            <w:pPr>
              <w:spacing w:line="180" w:lineRule="exact"/>
            </w:pPr>
            <w:r>
              <w:t>73</w:t>
            </w:r>
            <w:r w:rsidR="00B44322" w:rsidRPr="00B44322">
              <w:t>%</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B44322" w:rsidP="00BF1AC7">
            <w:pPr>
              <w:spacing w:line="180" w:lineRule="exact"/>
            </w:pPr>
            <w:r w:rsidRPr="00B44322">
              <w:t>84%</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B44322" w:rsidRPr="00B44322" w:rsidRDefault="00B44322" w:rsidP="00BF1AC7">
            <w:pPr>
              <w:spacing w:line="180" w:lineRule="exact"/>
            </w:pPr>
          </w:p>
        </w:tc>
      </w:tr>
      <w:tr w:rsidR="00B44322" w:rsidRPr="00B44322"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B44322" w:rsidP="00BF1AC7">
            <w:pPr>
              <w:spacing w:line="180" w:lineRule="exact"/>
              <w:rPr>
                <w:lang w:val="en-GB"/>
              </w:rPr>
            </w:pPr>
            <w:r w:rsidRPr="00B44322">
              <w:rPr>
                <w:lang w:val="en-GB"/>
              </w:rPr>
              <w:t>TB TSR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A42E90" w:rsidP="00BF1AC7">
            <w:pPr>
              <w:spacing w:line="180" w:lineRule="exact"/>
            </w:pPr>
            <w:r>
              <w:t>64</w:t>
            </w:r>
            <w:r w:rsidR="00B44322" w:rsidRPr="00B44322">
              <w:t>%</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B44322" w:rsidP="00BF1AC7">
            <w:pPr>
              <w:spacing w:line="180" w:lineRule="exact"/>
            </w:pPr>
            <w:r w:rsidRPr="00B44322">
              <w:t>90%</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B44322" w:rsidRPr="00B44322" w:rsidRDefault="00B44322" w:rsidP="00BF1AC7">
            <w:pPr>
              <w:spacing w:line="180" w:lineRule="exact"/>
            </w:pPr>
          </w:p>
        </w:tc>
      </w:tr>
      <w:tr w:rsidR="00B44322" w:rsidRPr="00B44322" w:rsidTr="00BF1AC7">
        <w:trPr>
          <w:trHeight w:val="144"/>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B44322" w:rsidP="00BF1AC7">
            <w:pPr>
              <w:spacing w:line="180" w:lineRule="exact"/>
              <w:rPr>
                <w:lang w:val="en-GB"/>
              </w:rPr>
            </w:pPr>
            <w:r w:rsidRPr="00B44322">
              <w:rPr>
                <w:lang w:val="en-GB"/>
              </w:rPr>
              <w:t xml:space="preserve">Health facilities reporting no stock out of essential medicines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B44322" w:rsidP="00BF1AC7">
            <w:pPr>
              <w:spacing w:line="180" w:lineRule="exact"/>
            </w:pPr>
            <w:r w:rsidRPr="00B44322">
              <w:t>29%</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4322" w:rsidRPr="00B44322" w:rsidRDefault="00B44322" w:rsidP="00BF1AC7">
            <w:pPr>
              <w:spacing w:line="180" w:lineRule="exact"/>
            </w:pPr>
            <w:r w:rsidRPr="00B44322">
              <w:t>100%</w:t>
            </w:r>
          </w:p>
        </w:tc>
        <w:tc>
          <w:tcPr>
            <w:tcW w:w="1777"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B44322" w:rsidRPr="00B44322" w:rsidRDefault="00B44322" w:rsidP="00BF1AC7">
            <w:pPr>
              <w:spacing w:line="180" w:lineRule="exact"/>
            </w:pPr>
          </w:p>
        </w:tc>
      </w:tr>
    </w:tbl>
    <w:p w:rsidR="00C231C1" w:rsidRDefault="00C231C1">
      <w:pPr>
        <w:rPr>
          <w:lang w:val="en-GB"/>
        </w:rPr>
        <w:sectPr w:rsidR="00C231C1" w:rsidSect="000343F9">
          <w:type w:val="continuous"/>
          <w:pgSz w:w="16840" w:h="23820" w:code="8"/>
          <w:pgMar w:top="1440" w:right="1440" w:bottom="1440" w:left="1440" w:header="720" w:footer="720" w:gutter="0"/>
          <w:cols w:space="720"/>
          <w:docGrid w:linePitch="360"/>
        </w:sectPr>
      </w:pPr>
    </w:p>
    <w:p w:rsidR="00834CD6" w:rsidRPr="00834CD6" w:rsidRDefault="00834CD6">
      <w:pPr>
        <w:rPr>
          <w:lang w:val="en-GB"/>
        </w:rPr>
      </w:pPr>
    </w:p>
    <w:sectPr w:rsidR="00834CD6" w:rsidRPr="00834CD6" w:rsidSect="00336A24">
      <w:type w:val="continuous"/>
      <w:pgSz w:w="16840" w:h="23820"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8AE" w:rsidRDefault="00DE68AE" w:rsidP="00294ECC">
      <w:pPr>
        <w:spacing w:after="0" w:line="240" w:lineRule="auto"/>
      </w:pPr>
      <w:r>
        <w:separator/>
      </w:r>
    </w:p>
  </w:endnote>
  <w:endnote w:type="continuationSeparator" w:id="0">
    <w:p w:rsidR="00DE68AE" w:rsidRDefault="00DE68AE" w:rsidP="00294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dobe Devanagari">
    <w:altName w:val="Cambria Math"/>
    <w:panose1 w:val="00000000000000000000"/>
    <w:charset w:val="00"/>
    <w:family w:val="roman"/>
    <w:notTrueType/>
    <w:pitch w:val="variable"/>
    <w:sig w:usb0="A00080E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CFA" w:rsidRDefault="00FC4CFA" w:rsidP="00A27D0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4CFA" w:rsidRDefault="00FC4CFA" w:rsidP="00294EC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CFA" w:rsidRDefault="00FC4CFA" w:rsidP="00B952F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1FD3">
      <w:rPr>
        <w:rStyle w:val="PageNumber"/>
        <w:noProof/>
      </w:rPr>
      <w:t>6</w:t>
    </w:r>
    <w:r>
      <w:rPr>
        <w:rStyle w:val="PageNumber"/>
      </w:rPr>
      <w:fldChar w:fldCharType="end"/>
    </w:r>
  </w:p>
  <w:p w:rsidR="00FC4CFA" w:rsidRDefault="00FC4CFA" w:rsidP="00294EC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8AE" w:rsidRDefault="00DE68AE" w:rsidP="00294ECC">
      <w:pPr>
        <w:spacing w:after="0" w:line="240" w:lineRule="auto"/>
      </w:pPr>
      <w:r>
        <w:separator/>
      </w:r>
    </w:p>
  </w:footnote>
  <w:footnote w:type="continuationSeparator" w:id="0">
    <w:p w:rsidR="00DE68AE" w:rsidRDefault="00DE68AE" w:rsidP="00294E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25pt;height:14.25pt" o:bullet="t">
        <v:imagedata r:id="rId1" o:title="Word Work File L_1854551357"/>
      </v:shape>
    </w:pict>
  </w:numPicBullet>
  <w:abstractNum w:abstractNumId="0">
    <w:nsid w:val="07F45779"/>
    <w:multiLevelType w:val="hybridMultilevel"/>
    <w:tmpl w:val="65BA2D0E"/>
    <w:lvl w:ilvl="0" w:tplc="50F899CC">
      <w:start w:val="1"/>
      <w:numFmt w:val="bullet"/>
      <w:lvlText w:val=""/>
      <w:lvlPicBulletId w:val="0"/>
      <w:lvlJc w:val="left"/>
      <w:pPr>
        <w:ind w:left="720" w:hanging="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8752C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3EE2259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CD6"/>
    <w:rsid w:val="00003F99"/>
    <w:rsid w:val="00007515"/>
    <w:rsid w:val="00007AFF"/>
    <w:rsid w:val="00013C6E"/>
    <w:rsid w:val="0001710E"/>
    <w:rsid w:val="00021583"/>
    <w:rsid w:val="0002170E"/>
    <w:rsid w:val="000315E4"/>
    <w:rsid w:val="000343F9"/>
    <w:rsid w:val="000371E9"/>
    <w:rsid w:val="00042E8B"/>
    <w:rsid w:val="000600C3"/>
    <w:rsid w:val="000A562D"/>
    <w:rsid w:val="000C1EB4"/>
    <w:rsid w:val="000C3703"/>
    <w:rsid w:val="000C3C3B"/>
    <w:rsid w:val="000C5026"/>
    <w:rsid w:val="000D18E0"/>
    <w:rsid w:val="000D47FB"/>
    <w:rsid w:val="000E32AB"/>
    <w:rsid w:val="000E47D4"/>
    <w:rsid w:val="000E7AA1"/>
    <w:rsid w:val="000E7C00"/>
    <w:rsid w:val="000F78C1"/>
    <w:rsid w:val="00106531"/>
    <w:rsid w:val="001161AB"/>
    <w:rsid w:val="001229E0"/>
    <w:rsid w:val="00131FA9"/>
    <w:rsid w:val="001439D6"/>
    <w:rsid w:val="00146A73"/>
    <w:rsid w:val="001538B5"/>
    <w:rsid w:val="00163467"/>
    <w:rsid w:val="00163AE5"/>
    <w:rsid w:val="00173268"/>
    <w:rsid w:val="00191FD3"/>
    <w:rsid w:val="001A294A"/>
    <w:rsid w:val="001C0C55"/>
    <w:rsid w:val="001C645F"/>
    <w:rsid w:val="001E7CE7"/>
    <w:rsid w:val="001F4B1A"/>
    <w:rsid w:val="001F5008"/>
    <w:rsid w:val="001F7F90"/>
    <w:rsid w:val="002002F2"/>
    <w:rsid w:val="00205B64"/>
    <w:rsid w:val="002117A6"/>
    <w:rsid w:val="00213A74"/>
    <w:rsid w:val="00214624"/>
    <w:rsid w:val="002176F4"/>
    <w:rsid w:val="00234F6A"/>
    <w:rsid w:val="00241749"/>
    <w:rsid w:val="00245BC5"/>
    <w:rsid w:val="0026121D"/>
    <w:rsid w:val="00267B82"/>
    <w:rsid w:val="00272935"/>
    <w:rsid w:val="00280B5F"/>
    <w:rsid w:val="002875E6"/>
    <w:rsid w:val="00291234"/>
    <w:rsid w:val="00294ECC"/>
    <w:rsid w:val="00297C42"/>
    <w:rsid w:val="00297E7E"/>
    <w:rsid w:val="002A2EAC"/>
    <w:rsid w:val="002A5D79"/>
    <w:rsid w:val="002A7455"/>
    <w:rsid w:val="002B60DC"/>
    <w:rsid w:val="002C745B"/>
    <w:rsid w:val="002D7AE6"/>
    <w:rsid w:val="002E22DA"/>
    <w:rsid w:val="002E28AA"/>
    <w:rsid w:val="00303841"/>
    <w:rsid w:val="00304750"/>
    <w:rsid w:val="003100E6"/>
    <w:rsid w:val="0031261D"/>
    <w:rsid w:val="00326FAB"/>
    <w:rsid w:val="00327B82"/>
    <w:rsid w:val="00332426"/>
    <w:rsid w:val="00336A24"/>
    <w:rsid w:val="00340CB3"/>
    <w:rsid w:val="00353F7E"/>
    <w:rsid w:val="00356809"/>
    <w:rsid w:val="00360CAB"/>
    <w:rsid w:val="00361271"/>
    <w:rsid w:val="00372C81"/>
    <w:rsid w:val="00383ACE"/>
    <w:rsid w:val="00391D2E"/>
    <w:rsid w:val="003954D9"/>
    <w:rsid w:val="003A0BC3"/>
    <w:rsid w:val="003B7070"/>
    <w:rsid w:val="003D0AC3"/>
    <w:rsid w:val="003D33A5"/>
    <w:rsid w:val="003D33DE"/>
    <w:rsid w:val="003D55C3"/>
    <w:rsid w:val="003D65BC"/>
    <w:rsid w:val="003E387F"/>
    <w:rsid w:val="003F0286"/>
    <w:rsid w:val="003F177D"/>
    <w:rsid w:val="003F1C1A"/>
    <w:rsid w:val="004007A1"/>
    <w:rsid w:val="0040206A"/>
    <w:rsid w:val="00403F70"/>
    <w:rsid w:val="00404721"/>
    <w:rsid w:val="00404FCC"/>
    <w:rsid w:val="00405462"/>
    <w:rsid w:val="004066FA"/>
    <w:rsid w:val="00426216"/>
    <w:rsid w:val="00430610"/>
    <w:rsid w:val="00431582"/>
    <w:rsid w:val="004325D8"/>
    <w:rsid w:val="004411FF"/>
    <w:rsid w:val="004540A7"/>
    <w:rsid w:val="0046159D"/>
    <w:rsid w:val="00473223"/>
    <w:rsid w:val="00481497"/>
    <w:rsid w:val="0049080E"/>
    <w:rsid w:val="004A1ACA"/>
    <w:rsid w:val="004C0130"/>
    <w:rsid w:val="004C63AE"/>
    <w:rsid w:val="004D7408"/>
    <w:rsid w:val="004E5898"/>
    <w:rsid w:val="004F2678"/>
    <w:rsid w:val="004F2699"/>
    <w:rsid w:val="004F78DD"/>
    <w:rsid w:val="00502885"/>
    <w:rsid w:val="00504C81"/>
    <w:rsid w:val="0050703D"/>
    <w:rsid w:val="00507BA1"/>
    <w:rsid w:val="005230B4"/>
    <w:rsid w:val="00530213"/>
    <w:rsid w:val="00546E10"/>
    <w:rsid w:val="0055665E"/>
    <w:rsid w:val="00562EDE"/>
    <w:rsid w:val="005664C0"/>
    <w:rsid w:val="00573C58"/>
    <w:rsid w:val="00580BE0"/>
    <w:rsid w:val="0059405B"/>
    <w:rsid w:val="005A5FE7"/>
    <w:rsid w:val="005B2CD0"/>
    <w:rsid w:val="005B7F94"/>
    <w:rsid w:val="005C3844"/>
    <w:rsid w:val="005C6E60"/>
    <w:rsid w:val="005D6012"/>
    <w:rsid w:val="005E2A2D"/>
    <w:rsid w:val="005F6392"/>
    <w:rsid w:val="006049CF"/>
    <w:rsid w:val="00623442"/>
    <w:rsid w:val="00631E62"/>
    <w:rsid w:val="00635ACC"/>
    <w:rsid w:val="006629B1"/>
    <w:rsid w:val="00666A12"/>
    <w:rsid w:val="006823D2"/>
    <w:rsid w:val="006934DD"/>
    <w:rsid w:val="006B02C1"/>
    <w:rsid w:val="006C413F"/>
    <w:rsid w:val="006C755D"/>
    <w:rsid w:val="006C78D8"/>
    <w:rsid w:val="006C7CC2"/>
    <w:rsid w:val="006D60A3"/>
    <w:rsid w:val="006E160D"/>
    <w:rsid w:val="006F142B"/>
    <w:rsid w:val="007015BB"/>
    <w:rsid w:val="00710F41"/>
    <w:rsid w:val="007254B9"/>
    <w:rsid w:val="007306C9"/>
    <w:rsid w:val="00732343"/>
    <w:rsid w:val="00735910"/>
    <w:rsid w:val="0074243C"/>
    <w:rsid w:val="00745924"/>
    <w:rsid w:val="00764D7C"/>
    <w:rsid w:val="00767721"/>
    <w:rsid w:val="007823B6"/>
    <w:rsid w:val="007823FC"/>
    <w:rsid w:val="007852E8"/>
    <w:rsid w:val="007878B5"/>
    <w:rsid w:val="0079642D"/>
    <w:rsid w:val="007B722C"/>
    <w:rsid w:val="007C1020"/>
    <w:rsid w:val="007C5A6C"/>
    <w:rsid w:val="007C7735"/>
    <w:rsid w:val="007D21FC"/>
    <w:rsid w:val="007F413C"/>
    <w:rsid w:val="00814766"/>
    <w:rsid w:val="008155B7"/>
    <w:rsid w:val="00821A86"/>
    <w:rsid w:val="0082551B"/>
    <w:rsid w:val="00832D27"/>
    <w:rsid w:val="00834CD6"/>
    <w:rsid w:val="0084095B"/>
    <w:rsid w:val="00851673"/>
    <w:rsid w:val="00886B23"/>
    <w:rsid w:val="008B587F"/>
    <w:rsid w:val="008D0E2E"/>
    <w:rsid w:val="008D290B"/>
    <w:rsid w:val="008E1CEE"/>
    <w:rsid w:val="008F5C96"/>
    <w:rsid w:val="00900318"/>
    <w:rsid w:val="009201B9"/>
    <w:rsid w:val="00926996"/>
    <w:rsid w:val="009326C6"/>
    <w:rsid w:val="0093769B"/>
    <w:rsid w:val="0094089F"/>
    <w:rsid w:val="00970F81"/>
    <w:rsid w:val="00991B6A"/>
    <w:rsid w:val="00991F27"/>
    <w:rsid w:val="0099263B"/>
    <w:rsid w:val="009A4AF0"/>
    <w:rsid w:val="009A7EE7"/>
    <w:rsid w:val="009B0019"/>
    <w:rsid w:val="009B38FA"/>
    <w:rsid w:val="009C5431"/>
    <w:rsid w:val="009C56A4"/>
    <w:rsid w:val="009C64F8"/>
    <w:rsid w:val="009D7805"/>
    <w:rsid w:val="009F2C57"/>
    <w:rsid w:val="00A05646"/>
    <w:rsid w:val="00A0576B"/>
    <w:rsid w:val="00A27D06"/>
    <w:rsid w:val="00A320CC"/>
    <w:rsid w:val="00A332F9"/>
    <w:rsid w:val="00A33DEC"/>
    <w:rsid w:val="00A42E90"/>
    <w:rsid w:val="00A46A89"/>
    <w:rsid w:val="00A5520F"/>
    <w:rsid w:val="00A91DA2"/>
    <w:rsid w:val="00A923AF"/>
    <w:rsid w:val="00A939F3"/>
    <w:rsid w:val="00A93EBB"/>
    <w:rsid w:val="00AA18DA"/>
    <w:rsid w:val="00AA3285"/>
    <w:rsid w:val="00AC14D4"/>
    <w:rsid w:val="00AC2912"/>
    <w:rsid w:val="00AD7E9D"/>
    <w:rsid w:val="00AE2AC7"/>
    <w:rsid w:val="00B01983"/>
    <w:rsid w:val="00B05FFB"/>
    <w:rsid w:val="00B20FED"/>
    <w:rsid w:val="00B343A7"/>
    <w:rsid w:val="00B44322"/>
    <w:rsid w:val="00B679B5"/>
    <w:rsid w:val="00B758CD"/>
    <w:rsid w:val="00B77387"/>
    <w:rsid w:val="00B81220"/>
    <w:rsid w:val="00B8271E"/>
    <w:rsid w:val="00B85385"/>
    <w:rsid w:val="00B87923"/>
    <w:rsid w:val="00B94B17"/>
    <w:rsid w:val="00B952F9"/>
    <w:rsid w:val="00B95729"/>
    <w:rsid w:val="00B95F73"/>
    <w:rsid w:val="00BB308D"/>
    <w:rsid w:val="00BB5570"/>
    <w:rsid w:val="00BB619B"/>
    <w:rsid w:val="00BC05F4"/>
    <w:rsid w:val="00BC24F3"/>
    <w:rsid w:val="00BD678F"/>
    <w:rsid w:val="00BE09D8"/>
    <w:rsid w:val="00BE0E87"/>
    <w:rsid w:val="00BF1AC7"/>
    <w:rsid w:val="00BF4F9A"/>
    <w:rsid w:val="00C10C03"/>
    <w:rsid w:val="00C231C1"/>
    <w:rsid w:val="00C3314A"/>
    <w:rsid w:val="00C33155"/>
    <w:rsid w:val="00C33159"/>
    <w:rsid w:val="00C36791"/>
    <w:rsid w:val="00C37ABD"/>
    <w:rsid w:val="00C40196"/>
    <w:rsid w:val="00C52E1D"/>
    <w:rsid w:val="00C63C52"/>
    <w:rsid w:val="00C81345"/>
    <w:rsid w:val="00C8529B"/>
    <w:rsid w:val="00C92562"/>
    <w:rsid w:val="00CB1E75"/>
    <w:rsid w:val="00CC6C57"/>
    <w:rsid w:val="00CD3AC5"/>
    <w:rsid w:val="00CE13FB"/>
    <w:rsid w:val="00D1640B"/>
    <w:rsid w:val="00D260B7"/>
    <w:rsid w:val="00D3271B"/>
    <w:rsid w:val="00D41B05"/>
    <w:rsid w:val="00D42604"/>
    <w:rsid w:val="00D51109"/>
    <w:rsid w:val="00D55465"/>
    <w:rsid w:val="00D563C6"/>
    <w:rsid w:val="00D70130"/>
    <w:rsid w:val="00D80D48"/>
    <w:rsid w:val="00D85323"/>
    <w:rsid w:val="00D8784C"/>
    <w:rsid w:val="00D92713"/>
    <w:rsid w:val="00D938A5"/>
    <w:rsid w:val="00D942B2"/>
    <w:rsid w:val="00DA2CAA"/>
    <w:rsid w:val="00DA611D"/>
    <w:rsid w:val="00DA63D9"/>
    <w:rsid w:val="00DA7A4A"/>
    <w:rsid w:val="00DC172C"/>
    <w:rsid w:val="00DC5FC1"/>
    <w:rsid w:val="00DC6029"/>
    <w:rsid w:val="00DC7853"/>
    <w:rsid w:val="00DD45F3"/>
    <w:rsid w:val="00DE6384"/>
    <w:rsid w:val="00DE68AE"/>
    <w:rsid w:val="00DF7ABF"/>
    <w:rsid w:val="00E009F3"/>
    <w:rsid w:val="00E0281B"/>
    <w:rsid w:val="00E14AC0"/>
    <w:rsid w:val="00E23BC4"/>
    <w:rsid w:val="00E31490"/>
    <w:rsid w:val="00E31563"/>
    <w:rsid w:val="00E45499"/>
    <w:rsid w:val="00E454CD"/>
    <w:rsid w:val="00E45A23"/>
    <w:rsid w:val="00E604A4"/>
    <w:rsid w:val="00E634EE"/>
    <w:rsid w:val="00E70951"/>
    <w:rsid w:val="00E978ED"/>
    <w:rsid w:val="00EB3878"/>
    <w:rsid w:val="00ED407C"/>
    <w:rsid w:val="00EE548F"/>
    <w:rsid w:val="00EF0011"/>
    <w:rsid w:val="00EF0C2B"/>
    <w:rsid w:val="00F17B04"/>
    <w:rsid w:val="00F3085B"/>
    <w:rsid w:val="00F369F1"/>
    <w:rsid w:val="00F37542"/>
    <w:rsid w:val="00F4798B"/>
    <w:rsid w:val="00F5680A"/>
    <w:rsid w:val="00F61E65"/>
    <w:rsid w:val="00F745B0"/>
    <w:rsid w:val="00F878DC"/>
    <w:rsid w:val="00FA21E5"/>
    <w:rsid w:val="00FC4CFA"/>
    <w:rsid w:val="00FD090D"/>
    <w:rsid w:val="00FE599D"/>
    <w:rsid w:val="00FE5AF5"/>
    <w:rsid w:val="00FE6F37"/>
    <w:rsid w:val="00FF13F7"/>
    <w:rsid w:val="00FF63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C1ED9-6B99-4ADA-B0DF-1A3FEAA5B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6A4"/>
    <w:pPr>
      <w:spacing w:after="160" w:line="259" w:lineRule="auto"/>
      <w:jc w:val="both"/>
    </w:pPr>
    <w:rPr>
      <w:szCs w:val="22"/>
    </w:rPr>
  </w:style>
  <w:style w:type="paragraph" w:styleId="Heading1">
    <w:name w:val="heading 1"/>
    <w:basedOn w:val="Normal"/>
    <w:next w:val="Normal"/>
    <w:link w:val="Heading1Char"/>
    <w:autoRedefine/>
    <w:uiPriority w:val="9"/>
    <w:qFormat/>
    <w:rsid w:val="00336A24"/>
    <w:pPr>
      <w:keepNext/>
      <w:keepLines/>
      <w:numPr>
        <w:numId w:val="3"/>
      </w:numPr>
      <w:spacing w:before="240"/>
      <w:jc w:val="left"/>
      <w:outlineLvl w:val="0"/>
    </w:pPr>
    <w:rPr>
      <w:rFonts w:ascii="Century Gothic" w:eastAsia="Times New Roman" w:hAnsi="Century Gothic"/>
      <w:b/>
      <w:bCs/>
      <w:color w:val="385623" w:themeColor="accent6" w:themeShade="80"/>
      <w:sz w:val="32"/>
      <w:szCs w:val="32"/>
    </w:rPr>
  </w:style>
  <w:style w:type="paragraph" w:styleId="Heading2">
    <w:name w:val="heading 2"/>
    <w:basedOn w:val="Normal"/>
    <w:next w:val="Normal"/>
    <w:link w:val="Heading2Char"/>
    <w:autoRedefine/>
    <w:uiPriority w:val="9"/>
    <w:unhideWhenUsed/>
    <w:qFormat/>
    <w:rsid w:val="00336A24"/>
    <w:pPr>
      <w:keepNext/>
      <w:keepLines/>
      <w:numPr>
        <w:ilvl w:val="1"/>
        <w:numId w:val="3"/>
      </w:numPr>
      <w:spacing w:before="120" w:after="120"/>
      <w:outlineLvl w:val="1"/>
    </w:pPr>
    <w:rPr>
      <w:rFonts w:asciiTheme="majorHAnsi" w:eastAsiaTheme="majorEastAsia" w:hAnsiTheme="majorHAnsi" w:cstheme="majorBidi"/>
      <w:b/>
      <w:color w:val="C45911" w:themeColor="accent2" w:themeShade="BF"/>
      <w:sz w:val="26"/>
      <w:szCs w:val="26"/>
    </w:rPr>
  </w:style>
  <w:style w:type="paragraph" w:styleId="Heading3">
    <w:name w:val="heading 3"/>
    <w:basedOn w:val="Normal"/>
    <w:next w:val="Normal"/>
    <w:link w:val="Heading3Char"/>
    <w:uiPriority w:val="9"/>
    <w:unhideWhenUsed/>
    <w:qFormat/>
    <w:rsid w:val="00336A24"/>
    <w:pPr>
      <w:keepNext/>
      <w:keepLines/>
      <w:numPr>
        <w:ilvl w:val="2"/>
        <w:numId w:val="3"/>
      </w:numPr>
      <w:spacing w:before="40" w:after="0"/>
      <w:outlineLvl w:val="2"/>
    </w:pPr>
    <w:rPr>
      <w:rFonts w:asciiTheme="majorHAnsi" w:eastAsiaTheme="majorEastAsia" w:hAnsiTheme="majorHAnsi" w:cstheme="majorBidi"/>
      <w:b/>
      <w:i/>
      <w:color w:val="538135" w:themeColor="accent6" w:themeShade="BF"/>
      <w:szCs w:val="24"/>
    </w:rPr>
  </w:style>
  <w:style w:type="paragraph" w:styleId="Heading4">
    <w:name w:val="heading 4"/>
    <w:basedOn w:val="Normal"/>
    <w:next w:val="Normal"/>
    <w:link w:val="Heading4Char"/>
    <w:uiPriority w:val="9"/>
    <w:semiHidden/>
    <w:unhideWhenUsed/>
    <w:qFormat/>
    <w:rsid w:val="00294ECC"/>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94ECC"/>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94ECC"/>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94ECC"/>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94EC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4EC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36A24"/>
    <w:rPr>
      <w:rFonts w:ascii="Century Gothic" w:eastAsia="Times New Roman" w:hAnsi="Century Gothic"/>
      <w:b/>
      <w:bCs/>
      <w:color w:val="385623" w:themeColor="accent6" w:themeShade="80"/>
      <w:sz w:val="32"/>
      <w:szCs w:val="32"/>
    </w:rPr>
  </w:style>
  <w:style w:type="character" w:customStyle="1" w:styleId="Heading2Char">
    <w:name w:val="Heading 2 Char"/>
    <w:basedOn w:val="DefaultParagraphFont"/>
    <w:link w:val="Heading2"/>
    <w:uiPriority w:val="9"/>
    <w:rsid w:val="00336A24"/>
    <w:rPr>
      <w:rFonts w:asciiTheme="majorHAnsi" w:eastAsiaTheme="majorEastAsia" w:hAnsiTheme="majorHAnsi" w:cstheme="majorBidi"/>
      <w:b/>
      <w:color w:val="C45911" w:themeColor="accent2" w:themeShade="BF"/>
      <w:sz w:val="26"/>
      <w:szCs w:val="26"/>
    </w:rPr>
  </w:style>
  <w:style w:type="character" w:customStyle="1" w:styleId="Heading3Char">
    <w:name w:val="Heading 3 Char"/>
    <w:basedOn w:val="DefaultParagraphFont"/>
    <w:link w:val="Heading3"/>
    <w:uiPriority w:val="9"/>
    <w:rsid w:val="00336A24"/>
    <w:rPr>
      <w:rFonts w:asciiTheme="majorHAnsi" w:eastAsiaTheme="majorEastAsia" w:hAnsiTheme="majorHAnsi" w:cstheme="majorBidi"/>
      <w:b/>
      <w:i/>
      <w:color w:val="538135" w:themeColor="accent6" w:themeShade="BF"/>
    </w:rPr>
  </w:style>
  <w:style w:type="character" w:customStyle="1" w:styleId="Heading4Char">
    <w:name w:val="Heading 4 Char"/>
    <w:basedOn w:val="DefaultParagraphFont"/>
    <w:link w:val="Heading4"/>
    <w:uiPriority w:val="9"/>
    <w:semiHidden/>
    <w:rsid w:val="00294ECC"/>
    <w:rPr>
      <w:rFonts w:asciiTheme="majorHAnsi" w:eastAsiaTheme="majorEastAsia" w:hAnsiTheme="majorHAnsi" w:cstheme="majorBidi"/>
      <w:i/>
      <w:iCs/>
      <w:color w:val="2E74B5" w:themeColor="accent1" w:themeShade="BF"/>
      <w:szCs w:val="22"/>
    </w:rPr>
  </w:style>
  <w:style w:type="character" w:customStyle="1" w:styleId="Heading5Char">
    <w:name w:val="Heading 5 Char"/>
    <w:basedOn w:val="DefaultParagraphFont"/>
    <w:link w:val="Heading5"/>
    <w:uiPriority w:val="9"/>
    <w:semiHidden/>
    <w:rsid w:val="00294ECC"/>
    <w:rPr>
      <w:rFonts w:asciiTheme="majorHAnsi" w:eastAsiaTheme="majorEastAsia" w:hAnsiTheme="majorHAnsi" w:cstheme="majorBidi"/>
      <w:color w:val="2E74B5" w:themeColor="accent1" w:themeShade="BF"/>
      <w:szCs w:val="22"/>
    </w:rPr>
  </w:style>
  <w:style w:type="character" w:customStyle="1" w:styleId="Heading6Char">
    <w:name w:val="Heading 6 Char"/>
    <w:basedOn w:val="DefaultParagraphFont"/>
    <w:link w:val="Heading6"/>
    <w:uiPriority w:val="9"/>
    <w:semiHidden/>
    <w:rsid w:val="00294ECC"/>
    <w:rPr>
      <w:rFonts w:asciiTheme="majorHAnsi" w:eastAsiaTheme="majorEastAsia" w:hAnsiTheme="majorHAnsi" w:cstheme="majorBidi"/>
      <w:color w:val="1F4D78" w:themeColor="accent1" w:themeShade="7F"/>
      <w:szCs w:val="22"/>
    </w:rPr>
  </w:style>
  <w:style w:type="character" w:customStyle="1" w:styleId="Heading7Char">
    <w:name w:val="Heading 7 Char"/>
    <w:basedOn w:val="DefaultParagraphFont"/>
    <w:link w:val="Heading7"/>
    <w:uiPriority w:val="9"/>
    <w:semiHidden/>
    <w:rsid w:val="00294ECC"/>
    <w:rPr>
      <w:rFonts w:asciiTheme="majorHAnsi" w:eastAsiaTheme="majorEastAsia" w:hAnsiTheme="majorHAnsi" w:cstheme="majorBidi"/>
      <w:i/>
      <w:iCs/>
      <w:color w:val="1F4D78" w:themeColor="accent1" w:themeShade="7F"/>
      <w:szCs w:val="22"/>
    </w:rPr>
  </w:style>
  <w:style w:type="character" w:customStyle="1" w:styleId="Heading8Char">
    <w:name w:val="Heading 8 Char"/>
    <w:basedOn w:val="DefaultParagraphFont"/>
    <w:link w:val="Heading8"/>
    <w:uiPriority w:val="9"/>
    <w:semiHidden/>
    <w:rsid w:val="00294E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4EC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autoRedefine/>
    <w:uiPriority w:val="34"/>
    <w:qFormat/>
    <w:rsid w:val="009C56A4"/>
    <w:pPr>
      <w:spacing w:after="200" w:line="276" w:lineRule="auto"/>
      <w:ind w:left="720"/>
      <w:contextualSpacing/>
    </w:pPr>
  </w:style>
  <w:style w:type="table" w:styleId="TableGrid">
    <w:name w:val="Table Grid"/>
    <w:basedOn w:val="TableNormal"/>
    <w:uiPriority w:val="39"/>
    <w:rsid w:val="008F5C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F5C96"/>
    <w:pPr>
      <w:spacing w:after="200" w:line="240" w:lineRule="auto"/>
    </w:pPr>
    <w:rPr>
      <w:i/>
      <w:iCs/>
      <w:color w:val="44546A" w:themeColor="text2"/>
      <w:sz w:val="18"/>
      <w:szCs w:val="18"/>
    </w:rPr>
  </w:style>
  <w:style w:type="character" w:styleId="Emphasis">
    <w:name w:val="Emphasis"/>
    <w:basedOn w:val="DefaultParagraphFont"/>
    <w:uiPriority w:val="20"/>
    <w:qFormat/>
    <w:rsid w:val="007852E8"/>
    <w:rPr>
      <w:i/>
      <w:iCs/>
    </w:rPr>
  </w:style>
  <w:style w:type="table" w:customStyle="1" w:styleId="GridTable4-Accent21">
    <w:name w:val="Grid Table 4 - Accent 21"/>
    <w:basedOn w:val="TableNormal"/>
    <w:uiPriority w:val="49"/>
    <w:rsid w:val="00356809"/>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356809"/>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294ECC"/>
    <w:pPr>
      <w:numPr>
        <w:numId w:val="0"/>
      </w:numPr>
      <w:spacing w:before="480" w:after="0" w:line="276" w:lineRule="auto"/>
      <w:outlineLvl w:val="9"/>
    </w:pPr>
    <w:rPr>
      <w:rFonts w:asciiTheme="majorHAnsi" w:eastAsiaTheme="majorEastAsia" w:hAnsiTheme="majorHAnsi" w:cstheme="majorBidi"/>
      <w:color w:val="2E74B5" w:themeColor="accent1" w:themeShade="BF"/>
      <w:sz w:val="28"/>
      <w:szCs w:val="28"/>
    </w:rPr>
  </w:style>
  <w:style w:type="paragraph" w:styleId="TOC1">
    <w:name w:val="toc 1"/>
    <w:basedOn w:val="Normal"/>
    <w:next w:val="Normal"/>
    <w:autoRedefine/>
    <w:uiPriority w:val="39"/>
    <w:unhideWhenUsed/>
    <w:rsid w:val="00294ECC"/>
    <w:pPr>
      <w:spacing w:before="120" w:after="0"/>
      <w:jc w:val="left"/>
    </w:pPr>
    <w:rPr>
      <w:b/>
      <w:szCs w:val="24"/>
    </w:rPr>
  </w:style>
  <w:style w:type="paragraph" w:styleId="TOC2">
    <w:name w:val="toc 2"/>
    <w:basedOn w:val="Normal"/>
    <w:next w:val="Normal"/>
    <w:autoRedefine/>
    <w:uiPriority w:val="39"/>
    <w:unhideWhenUsed/>
    <w:rsid w:val="00294ECC"/>
    <w:pPr>
      <w:spacing w:after="0"/>
      <w:ind w:left="240"/>
      <w:jc w:val="left"/>
    </w:pPr>
    <w:rPr>
      <w:b/>
      <w:sz w:val="22"/>
    </w:rPr>
  </w:style>
  <w:style w:type="paragraph" w:styleId="TOC3">
    <w:name w:val="toc 3"/>
    <w:basedOn w:val="Normal"/>
    <w:next w:val="Normal"/>
    <w:autoRedefine/>
    <w:uiPriority w:val="39"/>
    <w:unhideWhenUsed/>
    <w:rsid w:val="00294ECC"/>
    <w:pPr>
      <w:spacing w:after="0"/>
      <w:ind w:left="480"/>
      <w:jc w:val="left"/>
    </w:pPr>
    <w:rPr>
      <w:sz w:val="22"/>
    </w:rPr>
  </w:style>
  <w:style w:type="character" w:styleId="Hyperlink">
    <w:name w:val="Hyperlink"/>
    <w:basedOn w:val="DefaultParagraphFont"/>
    <w:uiPriority w:val="99"/>
    <w:unhideWhenUsed/>
    <w:rsid w:val="00294ECC"/>
    <w:rPr>
      <w:color w:val="0563C1" w:themeColor="hyperlink"/>
      <w:u w:val="single"/>
    </w:rPr>
  </w:style>
  <w:style w:type="paragraph" w:styleId="TOC4">
    <w:name w:val="toc 4"/>
    <w:basedOn w:val="Normal"/>
    <w:next w:val="Normal"/>
    <w:autoRedefine/>
    <w:uiPriority w:val="39"/>
    <w:semiHidden/>
    <w:unhideWhenUsed/>
    <w:rsid w:val="00294ECC"/>
    <w:pPr>
      <w:spacing w:after="0"/>
      <w:ind w:left="720"/>
      <w:jc w:val="left"/>
    </w:pPr>
    <w:rPr>
      <w:sz w:val="20"/>
      <w:szCs w:val="20"/>
    </w:rPr>
  </w:style>
  <w:style w:type="paragraph" w:styleId="TOC5">
    <w:name w:val="toc 5"/>
    <w:basedOn w:val="Normal"/>
    <w:next w:val="Normal"/>
    <w:autoRedefine/>
    <w:uiPriority w:val="39"/>
    <w:semiHidden/>
    <w:unhideWhenUsed/>
    <w:rsid w:val="00294ECC"/>
    <w:pPr>
      <w:spacing w:after="0"/>
      <w:ind w:left="960"/>
      <w:jc w:val="left"/>
    </w:pPr>
    <w:rPr>
      <w:sz w:val="20"/>
      <w:szCs w:val="20"/>
    </w:rPr>
  </w:style>
  <w:style w:type="paragraph" w:styleId="TOC6">
    <w:name w:val="toc 6"/>
    <w:basedOn w:val="Normal"/>
    <w:next w:val="Normal"/>
    <w:autoRedefine/>
    <w:uiPriority w:val="39"/>
    <w:semiHidden/>
    <w:unhideWhenUsed/>
    <w:rsid w:val="00294ECC"/>
    <w:pPr>
      <w:spacing w:after="0"/>
      <w:ind w:left="1200"/>
      <w:jc w:val="left"/>
    </w:pPr>
    <w:rPr>
      <w:sz w:val="20"/>
      <w:szCs w:val="20"/>
    </w:rPr>
  </w:style>
  <w:style w:type="paragraph" w:styleId="TOC7">
    <w:name w:val="toc 7"/>
    <w:basedOn w:val="Normal"/>
    <w:next w:val="Normal"/>
    <w:autoRedefine/>
    <w:uiPriority w:val="39"/>
    <w:semiHidden/>
    <w:unhideWhenUsed/>
    <w:rsid w:val="00294ECC"/>
    <w:pPr>
      <w:spacing w:after="0"/>
      <w:ind w:left="1440"/>
      <w:jc w:val="left"/>
    </w:pPr>
    <w:rPr>
      <w:sz w:val="20"/>
      <w:szCs w:val="20"/>
    </w:rPr>
  </w:style>
  <w:style w:type="paragraph" w:styleId="TOC8">
    <w:name w:val="toc 8"/>
    <w:basedOn w:val="Normal"/>
    <w:next w:val="Normal"/>
    <w:autoRedefine/>
    <w:uiPriority w:val="39"/>
    <w:semiHidden/>
    <w:unhideWhenUsed/>
    <w:rsid w:val="00294ECC"/>
    <w:pPr>
      <w:spacing w:after="0"/>
      <w:ind w:left="1680"/>
      <w:jc w:val="left"/>
    </w:pPr>
    <w:rPr>
      <w:sz w:val="20"/>
      <w:szCs w:val="20"/>
    </w:rPr>
  </w:style>
  <w:style w:type="paragraph" w:styleId="TOC9">
    <w:name w:val="toc 9"/>
    <w:basedOn w:val="Normal"/>
    <w:next w:val="Normal"/>
    <w:autoRedefine/>
    <w:uiPriority w:val="39"/>
    <w:semiHidden/>
    <w:unhideWhenUsed/>
    <w:rsid w:val="00294ECC"/>
    <w:pPr>
      <w:spacing w:after="0"/>
      <w:ind w:left="1920"/>
      <w:jc w:val="left"/>
    </w:pPr>
    <w:rPr>
      <w:sz w:val="20"/>
      <w:szCs w:val="20"/>
    </w:rPr>
  </w:style>
  <w:style w:type="paragraph" w:styleId="Footer">
    <w:name w:val="footer"/>
    <w:basedOn w:val="Normal"/>
    <w:link w:val="FooterChar"/>
    <w:uiPriority w:val="99"/>
    <w:unhideWhenUsed/>
    <w:rsid w:val="00294E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ECC"/>
    <w:rPr>
      <w:szCs w:val="22"/>
    </w:rPr>
  </w:style>
  <w:style w:type="character" w:styleId="PageNumber">
    <w:name w:val="page number"/>
    <w:basedOn w:val="DefaultParagraphFont"/>
    <w:uiPriority w:val="99"/>
    <w:semiHidden/>
    <w:unhideWhenUsed/>
    <w:rsid w:val="00294ECC"/>
  </w:style>
  <w:style w:type="paragraph" w:styleId="Title">
    <w:name w:val="Title"/>
    <w:basedOn w:val="Normal"/>
    <w:next w:val="Normal"/>
    <w:link w:val="TitleChar"/>
    <w:autoRedefine/>
    <w:uiPriority w:val="10"/>
    <w:qFormat/>
    <w:rsid w:val="004C63AE"/>
    <w:pPr>
      <w:spacing w:after="0" w:line="240" w:lineRule="auto"/>
      <w:contextualSpacing/>
      <w:jc w:val="center"/>
    </w:pPr>
    <w:rPr>
      <w:rFonts w:ascii="Adobe Devanagari" w:eastAsiaTheme="majorEastAsia" w:hAnsi="Adobe Devanagari" w:cstheme="majorBidi"/>
      <w:b/>
      <w:bCs/>
      <w:color w:val="385623" w:themeColor="accent6" w:themeShade="80"/>
      <w:kern w:val="28"/>
      <w:sz w:val="48"/>
      <w:szCs w:val="48"/>
      <w:lang w:val="en-GB"/>
    </w:rPr>
  </w:style>
  <w:style w:type="character" w:customStyle="1" w:styleId="TitleChar">
    <w:name w:val="Title Char"/>
    <w:basedOn w:val="DefaultParagraphFont"/>
    <w:link w:val="Title"/>
    <w:uiPriority w:val="10"/>
    <w:rsid w:val="004C63AE"/>
    <w:rPr>
      <w:rFonts w:ascii="Adobe Devanagari" w:eastAsiaTheme="majorEastAsia" w:hAnsi="Adobe Devanagari" w:cstheme="majorBidi"/>
      <w:b/>
      <w:bCs/>
      <w:color w:val="385623" w:themeColor="accent6" w:themeShade="80"/>
      <w:kern w:val="28"/>
      <w:sz w:val="48"/>
      <w:szCs w:val="48"/>
      <w:lang w:val="en-GB"/>
    </w:rPr>
  </w:style>
  <w:style w:type="table" w:customStyle="1" w:styleId="GridTable4-Accent41">
    <w:name w:val="Grid Table 4 - Accent 41"/>
    <w:basedOn w:val="TableNormal"/>
    <w:uiPriority w:val="49"/>
    <w:rsid w:val="00767721"/>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61">
    <w:name w:val="Grid Table 4 - Accent 61"/>
    <w:basedOn w:val="TableNormal"/>
    <w:uiPriority w:val="49"/>
    <w:rsid w:val="00767721"/>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E60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4A4"/>
    <w:rPr>
      <w:szCs w:val="22"/>
    </w:rPr>
  </w:style>
  <w:style w:type="paragraph" w:styleId="NoSpacing">
    <w:name w:val="No Spacing"/>
    <w:uiPriority w:val="1"/>
    <w:qFormat/>
    <w:rsid w:val="00E604A4"/>
    <w:rPr>
      <w:rFonts w:eastAsiaTheme="minorEastAsia"/>
      <w:sz w:val="22"/>
      <w:szCs w:val="22"/>
      <w:lang w:eastAsia="zh-CN"/>
    </w:rPr>
  </w:style>
  <w:style w:type="paragraph" w:styleId="BalloonText">
    <w:name w:val="Balloon Text"/>
    <w:basedOn w:val="Normal"/>
    <w:link w:val="BalloonTextChar"/>
    <w:uiPriority w:val="99"/>
    <w:semiHidden/>
    <w:unhideWhenUsed/>
    <w:rsid w:val="004054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4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54721">
      <w:bodyDiv w:val="1"/>
      <w:marLeft w:val="0"/>
      <w:marRight w:val="0"/>
      <w:marTop w:val="0"/>
      <w:marBottom w:val="0"/>
      <w:divBdr>
        <w:top w:val="none" w:sz="0" w:space="0" w:color="auto"/>
        <w:left w:val="none" w:sz="0" w:space="0" w:color="auto"/>
        <w:bottom w:val="none" w:sz="0" w:space="0" w:color="auto"/>
        <w:right w:val="none" w:sz="0" w:space="0" w:color="auto"/>
      </w:divBdr>
    </w:div>
    <w:div w:id="163782687">
      <w:bodyDiv w:val="1"/>
      <w:marLeft w:val="0"/>
      <w:marRight w:val="0"/>
      <w:marTop w:val="0"/>
      <w:marBottom w:val="0"/>
      <w:divBdr>
        <w:top w:val="none" w:sz="0" w:space="0" w:color="auto"/>
        <w:left w:val="none" w:sz="0" w:space="0" w:color="auto"/>
        <w:bottom w:val="none" w:sz="0" w:space="0" w:color="auto"/>
        <w:right w:val="none" w:sz="0" w:space="0" w:color="auto"/>
      </w:divBdr>
    </w:div>
    <w:div w:id="570585157">
      <w:bodyDiv w:val="1"/>
      <w:marLeft w:val="0"/>
      <w:marRight w:val="0"/>
      <w:marTop w:val="0"/>
      <w:marBottom w:val="0"/>
      <w:divBdr>
        <w:top w:val="none" w:sz="0" w:space="0" w:color="auto"/>
        <w:left w:val="none" w:sz="0" w:space="0" w:color="auto"/>
        <w:bottom w:val="none" w:sz="0" w:space="0" w:color="auto"/>
        <w:right w:val="none" w:sz="0" w:space="0" w:color="auto"/>
      </w:divBdr>
    </w:div>
    <w:div w:id="641695076">
      <w:bodyDiv w:val="1"/>
      <w:marLeft w:val="0"/>
      <w:marRight w:val="0"/>
      <w:marTop w:val="0"/>
      <w:marBottom w:val="0"/>
      <w:divBdr>
        <w:top w:val="none" w:sz="0" w:space="0" w:color="auto"/>
        <w:left w:val="none" w:sz="0" w:space="0" w:color="auto"/>
        <w:bottom w:val="none" w:sz="0" w:space="0" w:color="auto"/>
        <w:right w:val="none" w:sz="0" w:space="0" w:color="auto"/>
      </w:divBdr>
    </w:div>
    <w:div w:id="691416811">
      <w:bodyDiv w:val="1"/>
      <w:marLeft w:val="0"/>
      <w:marRight w:val="0"/>
      <w:marTop w:val="0"/>
      <w:marBottom w:val="0"/>
      <w:divBdr>
        <w:top w:val="none" w:sz="0" w:space="0" w:color="auto"/>
        <w:left w:val="none" w:sz="0" w:space="0" w:color="auto"/>
        <w:bottom w:val="none" w:sz="0" w:space="0" w:color="auto"/>
        <w:right w:val="none" w:sz="0" w:space="0" w:color="auto"/>
      </w:divBdr>
    </w:div>
    <w:div w:id="697389223">
      <w:bodyDiv w:val="1"/>
      <w:marLeft w:val="0"/>
      <w:marRight w:val="0"/>
      <w:marTop w:val="0"/>
      <w:marBottom w:val="0"/>
      <w:divBdr>
        <w:top w:val="none" w:sz="0" w:space="0" w:color="auto"/>
        <w:left w:val="none" w:sz="0" w:space="0" w:color="auto"/>
        <w:bottom w:val="none" w:sz="0" w:space="0" w:color="auto"/>
        <w:right w:val="none" w:sz="0" w:space="0" w:color="auto"/>
      </w:divBdr>
    </w:div>
    <w:div w:id="699403260">
      <w:bodyDiv w:val="1"/>
      <w:marLeft w:val="0"/>
      <w:marRight w:val="0"/>
      <w:marTop w:val="0"/>
      <w:marBottom w:val="0"/>
      <w:divBdr>
        <w:top w:val="none" w:sz="0" w:space="0" w:color="auto"/>
        <w:left w:val="none" w:sz="0" w:space="0" w:color="auto"/>
        <w:bottom w:val="none" w:sz="0" w:space="0" w:color="auto"/>
        <w:right w:val="none" w:sz="0" w:space="0" w:color="auto"/>
      </w:divBdr>
    </w:div>
    <w:div w:id="724262553">
      <w:bodyDiv w:val="1"/>
      <w:marLeft w:val="0"/>
      <w:marRight w:val="0"/>
      <w:marTop w:val="0"/>
      <w:marBottom w:val="0"/>
      <w:divBdr>
        <w:top w:val="none" w:sz="0" w:space="0" w:color="auto"/>
        <w:left w:val="none" w:sz="0" w:space="0" w:color="auto"/>
        <w:bottom w:val="none" w:sz="0" w:space="0" w:color="auto"/>
        <w:right w:val="none" w:sz="0" w:space="0" w:color="auto"/>
      </w:divBdr>
    </w:div>
    <w:div w:id="734664451">
      <w:bodyDiv w:val="1"/>
      <w:marLeft w:val="0"/>
      <w:marRight w:val="0"/>
      <w:marTop w:val="0"/>
      <w:marBottom w:val="0"/>
      <w:divBdr>
        <w:top w:val="none" w:sz="0" w:space="0" w:color="auto"/>
        <w:left w:val="none" w:sz="0" w:space="0" w:color="auto"/>
        <w:bottom w:val="none" w:sz="0" w:space="0" w:color="auto"/>
        <w:right w:val="none" w:sz="0" w:space="0" w:color="auto"/>
      </w:divBdr>
    </w:div>
    <w:div w:id="735979849">
      <w:bodyDiv w:val="1"/>
      <w:marLeft w:val="0"/>
      <w:marRight w:val="0"/>
      <w:marTop w:val="0"/>
      <w:marBottom w:val="0"/>
      <w:divBdr>
        <w:top w:val="none" w:sz="0" w:space="0" w:color="auto"/>
        <w:left w:val="none" w:sz="0" w:space="0" w:color="auto"/>
        <w:bottom w:val="none" w:sz="0" w:space="0" w:color="auto"/>
        <w:right w:val="none" w:sz="0" w:space="0" w:color="auto"/>
      </w:divBdr>
    </w:div>
    <w:div w:id="840968072">
      <w:bodyDiv w:val="1"/>
      <w:marLeft w:val="0"/>
      <w:marRight w:val="0"/>
      <w:marTop w:val="0"/>
      <w:marBottom w:val="0"/>
      <w:divBdr>
        <w:top w:val="none" w:sz="0" w:space="0" w:color="auto"/>
        <w:left w:val="none" w:sz="0" w:space="0" w:color="auto"/>
        <w:bottom w:val="none" w:sz="0" w:space="0" w:color="auto"/>
        <w:right w:val="none" w:sz="0" w:space="0" w:color="auto"/>
      </w:divBdr>
    </w:div>
    <w:div w:id="853420129">
      <w:bodyDiv w:val="1"/>
      <w:marLeft w:val="0"/>
      <w:marRight w:val="0"/>
      <w:marTop w:val="0"/>
      <w:marBottom w:val="0"/>
      <w:divBdr>
        <w:top w:val="none" w:sz="0" w:space="0" w:color="auto"/>
        <w:left w:val="none" w:sz="0" w:space="0" w:color="auto"/>
        <w:bottom w:val="none" w:sz="0" w:space="0" w:color="auto"/>
        <w:right w:val="none" w:sz="0" w:space="0" w:color="auto"/>
      </w:divBdr>
    </w:div>
    <w:div w:id="893736136">
      <w:bodyDiv w:val="1"/>
      <w:marLeft w:val="0"/>
      <w:marRight w:val="0"/>
      <w:marTop w:val="0"/>
      <w:marBottom w:val="0"/>
      <w:divBdr>
        <w:top w:val="none" w:sz="0" w:space="0" w:color="auto"/>
        <w:left w:val="none" w:sz="0" w:space="0" w:color="auto"/>
        <w:bottom w:val="none" w:sz="0" w:space="0" w:color="auto"/>
        <w:right w:val="none" w:sz="0" w:space="0" w:color="auto"/>
      </w:divBdr>
    </w:div>
    <w:div w:id="1024593591">
      <w:bodyDiv w:val="1"/>
      <w:marLeft w:val="0"/>
      <w:marRight w:val="0"/>
      <w:marTop w:val="0"/>
      <w:marBottom w:val="0"/>
      <w:divBdr>
        <w:top w:val="none" w:sz="0" w:space="0" w:color="auto"/>
        <w:left w:val="none" w:sz="0" w:space="0" w:color="auto"/>
        <w:bottom w:val="none" w:sz="0" w:space="0" w:color="auto"/>
        <w:right w:val="none" w:sz="0" w:space="0" w:color="auto"/>
      </w:divBdr>
    </w:div>
    <w:div w:id="1035891759">
      <w:bodyDiv w:val="1"/>
      <w:marLeft w:val="0"/>
      <w:marRight w:val="0"/>
      <w:marTop w:val="0"/>
      <w:marBottom w:val="0"/>
      <w:divBdr>
        <w:top w:val="none" w:sz="0" w:space="0" w:color="auto"/>
        <w:left w:val="none" w:sz="0" w:space="0" w:color="auto"/>
        <w:bottom w:val="none" w:sz="0" w:space="0" w:color="auto"/>
        <w:right w:val="none" w:sz="0" w:space="0" w:color="auto"/>
      </w:divBdr>
    </w:div>
    <w:div w:id="1176070968">
      <w:bodyDiv w:val="1"/>
      <w:marLeft w:val="0"/>
      <w:marRight w:val="0"/>
      <w:marTop w:val="0"/>
      <w:marBottom w:val="0"/>
      <w:divBdr>
        <w:top w:val="none" w:sz="0" w:space="0" w:color="auto"/>
        <w:left w:val="none" w:sz="0" w:space="0" w:color="auto"/>
        <w:bottom w:val="none" w:sz="0" w:space="0" w:color="auto"/>
        <w:right w:val="none" w:sz="0" w:space="0" w:color="auto"/>
      </w:divBdr>
    </w:div>
    <w:div w:id="1246108712">
      <w:bodyDiv w:val="1"/>
      <w:marLeft w:val="0"/>
      <w:marRight w:val="0"/>
      <w:marTop w:val="0"/>
      <w:marBottom w:val="0"/>
      <w:divBdr>
        <w:top w:val="none" w:sz="0" w:space="0" w:color="auto"/>
        <w:left w:val="none" w:sz="0" w:space="0" w:color="auto"/>
        <w:bottom w:val="none" w:sz="0" w:space="0" w:color="auto"/>
        <w:right w:val="none" w:sz="0" w:space="0" w:color="auto"/>
      </w:divBdr>
    </w:div>
    <w:div w:id="1354957792">
      <w:bodyDiv w:val="1"/>
      <w:marLeft w:val="0"/>
      <w:marRight w:val="0"/>
      <w:marTop w:val="0"/>
      <w:marBottom w:val="0"/>
      <w:divBdr>
        <w:top w:val="none" w:sz="0" w:space="0" w:color="auto"/>
        <w:left w:val="none" w:sz="0" w:space="0" w:color="auto"/>
        <w:bottom w:val="none" w:sz="0" w:space="0" w:color="auto"/>
        <w:right w:val="none" w:sz="0" w:space="0" w:color="auto"/>
      </w:divBdr>
    </w:div>
    <w:div w:id="1423254856">
      <w:bodyDiv w:val="1"/>
      <w:marLeft w:val="0"/>
      <w:marRight w:val="0"/>
      <w:marTop w:val="0"/>
      <w:marBottom w:val="0"/>
      <w:divBdr>
        <w:top w:val="none" w:sz="0" w:space="0" w:color="auto"/>
        <w:left w:val="none" w:sz="0" w:space="0" w:color="auto"/>
        <w:bottom w:val="none" w:sz="0" w:space="0" w:color="auto"/>
        <w:right w:val="none" w:sz="0" w:space="0" w:color="auto"/>
      </w:divBdr>
    </w:div>
    <w:div w:id="1474560276">
      <w:bodyDiv w:val="1"/>
      <w:marLeft w:val="0"/>
      <w:marRight w:val="0"/>
      <w:marTop w:val="0"/>
      <w:marBottom w:val="0"/>
      <w:divBdr>
        <w:top w:val="none" w:sz="0" w:space="0" w:color="auto"/>
        <w:left w:val="none" w:sz="0" w:space="0" w:color="auto"/>
        <w:bottom w:val="none" w:sz="0" w:space="0" w:color="auto"/>
        <w:right w:val="none" w:sz="0" w:space="0" w:color="auto"/>
      </w:divBdr>
    </w:div>
    <w:div w:id="1494905243">
      <w:bodyDiv w:val="1"/>
      <w:marLeft w:val="0"/>
      <w:marRight w:val="0"/>
      <w:marTop w:val="0"/>
      <w:marBottom w:val="0"/>
      <w:divBdr>
        <w:top w:val="none" w:sz="0" w:space="0" w:color="auto"/>
        <w:left w:val="none" w:sz="0" w:space="0" w:color="auto"/>
        <w:bottom w:val="none" w:sz="0" w:space="0" w:color="auto"/>
        <w:right w:val="none" w:sz="0" w:space="0" w:color="auto"/>
      </w:divBdr>
    </w:div>
    <w:div w:id="1554921704">
      <w:bodyDiv w:val="1"/>
      <w:marLeft w:val="0"/>
      <w:marRight w:val="0"/>
      <w:marTop w:val="0"/>
      <w:marBottom w:val="0"/>
      <w:divBdr>
        <w:top w:val="none" w:sz="0" w:space="0" w:color="auto"/>
        <w:left w:val="none" w:sz="0" w:space="0" w:color="auto"/>
        <w:bottom w:val="none" w:sz="0" w:space="0" w:color="auto"/>
        <w:right w:val="none" w:sz="0" w:space="0" w:color="auto"/>
      </w:divBdr>
    </w:div>
    <w:div w:id="1582058274">
      <w:bodyDiv w:val="1"/>
      <w:marLeft w:val="0"/>
      <w:marRight w:val="0"/>
      <w:marTop w:val="0"/>
      <w:marBottom w:val="0"/>
      <w:divBdr>
        <w:top w:val="none" w:sz="0" w:space="0" w:color="auto"/>
        <w:left w:val="none" w:sz="0" w:space="0" w:color="auto"/>
        <w:bottom w:val="none" w:sz="0" w:space="0" w:color="auto"/>
        <w:right w:val="none" w:sz="0" w:space="0" w:color="auto"/>
      </w:divBdr>
    </w:div>
    <w:div w:id="1592395520">
      <w:bodyDiv w:val="1"/>
      <w:marLeft w:val="0"/>
      <w:marRight w:val="0"/>
      <w:marTop w:val="0"/>
      <w:marBottom w:val="0"/>
      <w:divBdr>
        <w:top w:val="none" w:sz="0" w:space="0" w:color="auto"/>
        <w:left w:val="none" w:sz="0" w:space="0" w:color="auto"/>
        <w:bottom w:val="none" w:sz="0" w:space="0" w:color="auto"/>
        <w:right w:val="none" w:sz="0" w:space="0" w:color="auto"/>
      </w:divBdr>
    </w:div>
    <w:div w:id="1624266084">
      <w:bodyDiv w:val="1"/>
      <w:marLeft w:val="0"/>
      <w:marRight w:val="0"/>
      <w:marTop w:val="0"/>
      <w:marBottom w:val="0"/>
      <w:divBdr>
        <w:top w:val="none" w:sz="0" w:space="0" w:color="auto"/>
        <w:left w:val="none" w:sz="0" w:space="0" w:color="auto"/>
        <w:bottom w:val="none" w:sz="0" w:space="0" w:color="auto"/>
        <w:right w:val="none" w:sz="0" w:space="0" w:color="auto"/>
      </w:divBdr>
    </w:div>
    <w:div w:id="1636180704">
      <w:bodyDiv w:val="1"/>
      <w:marLeft w:val="0"/>
      <w:marRight w:val="0"/>
      <w:marTop w:val="0"/>
      <w:marBottom w:val="0"/>
      <w:divBdr>
        <w:top w:val="none" w:sz="0" w:space="0" w:color="auto"/>
        <w:left w:val="none" w:sz="0" w:space="0" w:color="auto"/>
        <w:bottom w:val="none" w:sz="0" w:space="0" w:color="auto"/>
        <w:right w:val="none" w:sz="0" w:space="0" w:color="auto"/>
      </w:divBdr>
    </w:div>
    <w:div w:id="1665162235">
      <w:bodyDiv w:val="1"/>
      <w:marLeft w:val="0"/>
      <w:marRight w:val="0"/>
      <w:marTop w:val="0"/>
      <w:marBottom w:val="0"/>
      <w:divBdr>
        <w:top w:val="none" w:sz="0" w:space="0" w:color="auto"/>
        <w:left w:val="none" w:sz="0" w:space="0" w:color="auto"/>
        <w:bottom w:val="none" w:sz="0" w:space="0" w:color="auto"/>
        <w:right w:val="none" w:sz="0" w:space="0" w:color="auto"/>
      </w:divBdr>
    </w:div>
    <w:div w:id="1694957656">
      <w:bodyDiv w:val="1"/>
      <w:marLeft w:val="0"/>
      <w:marRight w:val="0"/>
      <w:marTop w:val="0"/>
      <w:marBottom w:val="0"/>
      <w:divBdr>
        <w:top w:val="none" w:sz="0" w:space="0" w:color="auto"/>
        <w:left w:val="none" w:sz="0" w:space="0" w:color="auto"/>
        <w:bottom w:val="none" w:sz="0" w:space="0" w:color="auto"/>
        <w:right w:val="none" w:sz="0" w:space="0" w:color="auto"/>
      </w:divBdr>
    </w:div>
    <w:div w:id="1716001704">
      <w:bodyDiv w:val="1"/>
      <w:marLeft w:val="0"/>
      <w:marRight w:val="0"/>
      <w:marTop w:val="0"/>
      <w:marBottom w:val="0"/>
      <w:divBdr>
        <w:top w:val="none" w:sz="0" w:space="0" w:color="auto"/>
        <w:left w:val="none" w:sz="0" w:space="0" w:color="auto"/>
        <w:bottom w:val="none" w:sz="0" w:space="0" w:color="auto"/>
        <w:right w:val="none" w:sz="0" w:space="0" w:color="auto"/>
      </w:divBdr>
    </w:div>
    <w:div w:id="1739984750">
      <w:bodyDiv w:val="1"/>
      <w:marLeft w:val="0"/>
      <w:marRight w:val="0"/>
      <w:marTop w:val="0"/>
      <w:marBottom w:val="0"/>
      <w:divBdr>
        <w:top w:val="none" w:sz="0" w:space="0" w:color="auto"/>
        <w:left w:val="none" w:sz="0" w:space="0" w:color="auto"/>
        <w:bottom w:val="none" w:sz="0" w:space="0" w:color="auto"/>
        <w:right w:val="none" w:sz="0" w:space="0" w:color="auto"/>
      </w:divBdr>
    </w:div>
    <w:div w:id="1762215394">
      <w:bodyDiv w:val="1"/>
      <w:marLeft w:val="0"/>
      <w:marRight w:val="0"/>
      <w:marTop w:val="0"/>
      <w:marBottom w:val="0"/>
      <w:divBdr>
        <w:top w:val="none" w:sz="0" w:space="0" w:color="auto"/>
        <w:left w:val="none" w:sz="0" w:space="0" w:color="auto"/>
        <w:bottom w:val="none" w:sz="0" w:space="0" w:color="auto"/>
        <w:right w:val="none" w:sz="0" w:space="0" w:color="auto"/>
      </w:divBdr>
    </w:div>
    <w:div w:id="1815483619">
      <w:bodyDiv w:val="1"/>
      <w:marLeft w:val="0"/>
      <w:marRight w:val="0"/>
      <w:marTop w:val="0"/>
      <w:marBottom w:val="0"/>
      <w:divBdr>
        <w:top w:val="none" w:sz="0" w:space="0" w:color="auto"/>
        <w:left w:val="none" w:sz="0" w:space="0" w:color="auto"/>
        <w:bottom w:val="none" w:sz="0" w:space="0" w:color="auto"/>
        <w:right w:val="none" w:sz="0" w:space="0" w:color="auto"/>
      </w:divBdr>
    </w:div>
    <w:div w:id="1856994860">
      <w:bodyDiv w:val="1"/>
      <w:marLeft w:val="0"/>
      <w:marRight w:val="0"/>
      <w:marTop w:val="0"/>
      <w:marBottom w:val="0"/>
      <w:divBdr>
        <w:top w:val="none" w:sz="0" w:space="0" w:color="auto"/>
        <w:left w:val="none" w:sz="0" w:space="0" w:color="auto"/>
        <w:bottom w:val="none" w:sz="0" w:space="0" w:color="auto"/>
        <w:right w:val="none" w:sz="0" w:space="0" w:color="auto"/>
      </w:divBdr>
    </w:div>
    <w:div w:id="1903372205">
      <w:bodyDiv w:val="1"/>
      <w:marLeft w:val="0"/>
      <w:marRight w:val="0"/>
      <w:marTop w:val="0"/>
      <w:marBottom w:val="0"/>
      <w:divBdr>
        <w:top w:val="none" w:sz="0" w:space="0" w:color="auto"/>
        <w:left w:val="none" w:sz="0" w:space="0" w:color="auto"/>
        <w:bottom w:val="none" w:sz="0" w:space="0" w:color="auto"/>
        <w:right w:val="none" w:sz="0" w:space="0" w:color="auto"/>
      </w:divBdr>
    </w:div>
    <w:div w:id="1956983583">
      <w:bodyDiv w:val="1"/>
      <w:marLeft w:val="0"/>
      <w:marRight w:val="0"/>
      <w:marTop w:val="0"/>
      <w:marBottom w:val="0"/>
      <w:divBdr>
        <w:top w:val="none" w:sz="0" w:space="0" w:color="auto"/>
        <w:left w:val="none" w:sz="0" w:space="0" w:color="auto"/>
        <w:bottom w:val="none" w:sz="0" w:space="0" w:color="auto"/>
        <w:right w:val="none" w:sz="0" w:space="0" w:color="auto"/>
      </w:divBdr>
    </w:div>
    <w:div w:id="2025788493">
      <w:bodyDiv w:val="1"/>
      <w:marLeft w:val="0"/>
      <w:marRight w:val="0"/>
      <w:marTop w:val="0"/>
      <w:marBottom w:val="0"/>
      <w:divBdr>
        <w:top w:val="none" w:sz="0" w:space="0" w:color="auto"/>
        <w:left w:val="none" w:sz="0" w:space="0" w:color="auto"/>
        <w:bottom w:val="none" w:sz="0" w:space="0" w:color="auto"/>
        <w:right w:val="none" w:sz="0" w:space="0" w:color="auto"/>
      </w:divBdr>
    </w:div>
    <w:div w:id="2090418363">
      <w:bodyDiv w:val="1"/>
      <w:marLeft w:val="0"/>
      <w:marRight w:val="0"/>
      <w:marTop w:val="0"/>
      <w:marBottom w:val="0"/>
      <w:divBdr>
        <w:top w:val="none" w:sz="0" w:space="0" w:color="auto"/>
        <w:left w:val="none" w:sz="0" w:space="0" w:color="auto"/>
        <w:bottom w:val="none" w:sz="0" w:space="0" w:color="auto"/>
        <w:right w:val="none" w:sz="0" w:space="0" w:color="auto"/>
      </w:divBdr>
    </w:div>
    <w:div w:id="2142185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8.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image" Target="media/image5.png"/><Relationship Id="rId27" Type="http://schemas.openxmlformats.org/officeDocument/2006/relationships/chart" Target="charts/chart13.xml"/><Relationship Id="rId30" Type="http://schemas.openxmlformats.org/officeDocument/2006/relationships/oleObject" Target="embeddings/Microsoft_Excel_97-2003_Worksheet1.xls"/></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oleObject" Target="file:///C:\Users\Jinja\Downloads\Malaria%20Channel%20Jinja.xls"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Teenage</a:t>
            </a:r>
            <a:r>
              <a:rPr lang="en-US" baseline="0"/>
              <a:t> pregnancies by Sub County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1'!$B$2:$B$13</c:f>
              <c:strCache>
                <c:ptCount val="12"/>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strCache>
            </c:strRef>
          </c:cat>
          <c:val>
            <c:numRef>
              <c:f>'Sheet 1'!$C$2:$C$13</c:f>
            </c:numRef>
          </c:val>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1'!$B$2:$B$13</c:f>
              <c:strCache>
                <c:ptCount val="12"/>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strCache>
            </c:strRef>
          </c:cat>
          <c:val>
            <c:numRef>
              <c:f>'Sheet 1'!$D$2:$D$13</c:f>
            </c:numRef>
          </c:val>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1'!$B$2:$B$13</c:f>
              <c:strCache>
                <c:ptCount val="12"/>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strCache>
            </c:strRef>
          </c:cat>
          <c:val>
            <c:numRef>
              <c:f>'Sheet 1'!$E$2:$E$13</c:f>
            </c:numRef>
          </c:val>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1'!$B$2:$B$13</c:f>
              <c:strCache>
                <c:ptCount val="12"/>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strCache>
            </c:strRef>
          </c:cat>
          <c:val>
            <c:numRef>
              <c:f>'Sheet 1'!$F$2:$F$13</c:f>
            </c:numRef>
          </c:val>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1'!$B$2:$B$13</c:f>
              <c:strCache>
                <c:ptCount val="12"/>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strCache>
            </c:strRef>
          </c:cat>
          <c:val>
            <c:numRef>
              <c:f>'Sheet 1'!$G$2:$G$13</c:f>
            </c:numRef>
          </c:val>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1'!$B$2:$B$13</c:f>
              <c:strCache>
                <c:ptCount val="12"/>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strCache>
            </c:strRef>
          </c:cat>
          <c:val>
            <c:numRef>
              <c:f>'Sheet 1'!$H$2:$H$13</c:f>
              <c:numCache>
                <c:formatCode>0%</c:formatCode>
                <c:ptCount val="12"/>
                <c:pt idx="0">
                  <c:v>0.23459715639810427</c:v>
                </c:pt>
                <c:pt idx="1">
                  <c:v>0.13457076566125289</c:v>
                </c:pt>
                <c:pt idx="2">
                  <c:v>0.26836734693877551</c:v>
                </c:pt>
                <c:pt idx="3">
                  <c:v>0.26907630522088355</c:v>
                </c:pt>
                <c:pt idx="4">
                  <c:v>0.20941176470588235</c:v>
                </c:pt>
                <c:pt idx="5">
                  <c:v>0.17909496494582536</c:v>
                </c:pt>
                <c:pt idx="6">
                  <c:v>0.16005873715124816</c:v>
                </c:pt>
                <c:pt idx="7">
                  <c:v>9.2099519860322998E-2</c:v>
                </c:pt>
                <c:pt idx="8">
                  <c:v>0.12710566615620214</c:v>
                </c:pt>
                <c:pt idx="9">
                  <c:v>0.13266041816870944</c:v>
                </c:pt>
                <c:pt idx="10">
                  <c:v>0.15153788447111777</c:v>
                </c:pt>
                <c:pt idx="11">
                  <c:v>0.15712682379349047</c:v>
                </c:pt>
              </c:numCache>
            </c:numRef>
          </c:val>
        </c:ser>
        <c:dLbls>
          <c:dLblPos val="outEnd"/>
          <c:showLegendKey val="0"/>
          <c:showVal val="1"/>
          <c:showCatName val="0"/>
          <c:showSerName val="0"/>
          <c:showPercent val="0"/>
          <c:showBubbleSize val="0"/>
        </c:dLbls>
        <c:gapWidth val="219"/>
        <c:overlap val="-27"/>
        <c:axId val="929518768"/>
        <c:axId val="929517984"/>
      </c:barChart>
      <c:catAx>
        <c:axId val="92951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517984"/>
        <c:crosses val="autoZero"/>
        <c:auto val="1"/>
        <c:lblAlgn val="ctr"/>
        <c:lblOffset val="100"/>
        <c:noMultiLvlLbl val="0"/>
      </c:catAx>
      <c:valAx>
        <c:axId val="929517984"/>
        <c:scaling>
          <c:orientation val="minMax"/>
        </c:scaling>
        <c:delete val="1"/>
        <c:axPos val="l"/>
        <c:numFmt formatCode="0%" sourceLinked="1"/>
        <c:majorTickMark val="none"/>
        <c:minorTickMark val="none"/>
        <c:tickLblPos val="nextTo"/>
        <c:crossAx val="929518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ART Retention rate by S/C FY 2019/20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'[Retention ART half 2020.xls]Sheet 1'!$C$1</c:f>
              <c:strCache>
                <c:ptCount val="1"/>
                <c:pt idx="0">
                  <c:v>106a-CA02B1 Started on ART in this clinic- original cohort (All Patients)-12Mths 0-9Yrs</c:v>
                </c:pt>
              </c:strCache>
            </c:strRef>
          </c:tx>
          <c:spPr>
            <a:solidFill>
              <a:schemeClr val="accent1"/>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1'!$C$2:$C$14</c:f>
            </c:numRef>
          </c:val>
        </c:ser>
        <c:ser>
          <c:idx val="1"/>
          <c:order val="1"/>
          <c:tx>
            <c:strRef>
              <c:f>'[Retention ART half 2020.xls]Sheet 1'!$D$1</c:f>
              <c:strCache>
                <c:ptCount val="1"/>
                <c:pt idx="0">
                  <c:v>106a-CA02B1 Started on ART in this clinic- original cohort (All Patients)-12Mths 10-19Yrs</c:v>
                </c:pt>
              </c:strCache>
            </c:strRef>
          </c:tx>
          <c:spPr>
            <a:solidFill>
              <a:schemeClr val="accent2"/>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1'!$D$2:$D$14</c:f>
            </c:numRef>
          </c:val>
        </c:ser>
        <c:ser>
          <c:idx val="2"/>
          <c:order val="2"/>
          <c:tx>
            <c:strRef>
              <c:f>'[Retention ART half 2020.xls]Sheet 1'!$E$1</c:f>
              <c:strCache>
                <c:ptCount val="1"/>
                <c:pt idx="0">
                  <c:v>106a-CA02B1 Started on ART in this clinic- original cohort (All Patients)-12Mths 20+Yrs</c:v>
                </c:pt>
              </c:strCache>
            </c:strRef>
          </c:tx>
          <c:spPr>
            <a:solidFill>
              <a:schemeClr val="accent3"/>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1'!$E$2:$E$14</c:f>
            </c:numRef>
          </c:val>
        </c:ser>
        <c:ser>
          <c:idx val="3"/>
          <c:order val="3"/>
          <c:tx>
            <c:strRef>
              <c:f>'[Retention ART half 2020.xls]Sheet 1'!$F$1</c:f>
              <c:strCache>
                <c:ptCount val="1"/>
                <c:pt idx="0">
                  <c:v>106a-CA05B1 Transfers In (TI) (All Patients)-12Mths 0-9Yrs</c:v>
                </c:pt>
              </c:strCache>
            </c:strRef>
          </c:tx>
          <c:spPr>
            <a:solidFill>
              <a:schemeClr val="accent4"/>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1'!$F$2:$F$14</c:f>
            </c:numRef>
          </c:val>
        </c:ser>
        <c:ser>
          <c:idx val="4"/>
          <c:order val="4"/>
          <c:tx>
            <c:strRef>
              <c:f>'[Retention ART half 2020.xls]Sheet 1'!$G$1</c:f>
              <c:strCache>
                <c:ptCount val="1"/>
                <c:pt idx="0">
                  <c:v>106a-CA05B1 Transfers In (TI) (All Patients)-12Mths 10-19Yrs</c:v>
                </c:pt>
              </c:strCache>
            </c:strRef>
          </c:tx>
          <c:spPr>
            <a:solidFill>
              <a:schemeClr val="accent5"/>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1'!$G$2:$G$14</c:f>
            </c:numRef>
          </c:val>
        </c:ser>
        <c:ser>
          <c:idx val="5"/>
          <c:order val="5"/>
          <c:tx>
            <c:strRef>
              <c:f>'[Retention ART half 2020.xls]Sheet 1'!$H$1</c:f>
              <c:strCache>
                <c:ptCount val="1"/>
                <c:pt idx="0">
                  <c:v>106a-CA05B1 Transfers In (TI) (All Patients)-12Mths 20+Yrs</c:v>
                </c:pt>
              </c:strCache>
            </c:strRef>
          </c:tx>
          <c:spPr>
            <a:solidFill>
              <a:schemeClr val="accent6"/>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1'!$H$2:$H$14</c:f>
            </c:numRef>
          </c:val>
        </c:ser>
        <c:ser>
          <c:idx val="6"/>
          <c:order val="6"/>
          <c:tx>
            <c:strRef>
              <c:f>'[Retention ART half 2020.xls]Sheet 1'!$I$1</c:f>
              <c:strCache>
                <c:ptCount val="1"/>
                <c:pt idx="0">
                  <c:v>106a-CA06B1 Transfers Out (TO)(All Patients)-12Mths 0-9Yrs</c:v>
                </c:pt>
              </c:strCache>
            </c:strRef>
          </c:tx>
          <c:spPr>
            <a:solidFill>
              <a:schemeClr val="accent1">
                <a:lumMod val="60000"/>
              </a:schemeClr>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1'!$I$2:$I$14</c:f>
            </c:numRef>
          </c:val>
        </c:ser>
        <c:ser>
          <c:idx val="7"/>
          <c:order val="7"/>
          <c:tx>
            <c:strRef>
              <c:f>'[Retention ART half 2020.xls]Sheet 1'!$J$1</c:f>
              <c:strCache>
                <c:ptCount val="1"/>
                <c:pt idx="0">
                  <c:v>106a-CA06B1 Transfers Out (TO)(All Patients)-12Mths 10-19Yrs</c:v>
                </c:pt>
              </c:strCache>
            </c:strRef>
          </c:tx>
          <c:spPr>
            <a:solidFill>
              <a:schemeClr val="accent2">
                <a:lumMod val="60000"/>
              </a:schemeClr>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1'!$J$2:$J$14</c:f>
            </c:numRef>
          </c:val>
        </c:ser>
        <c:ser>
          <c:idx val="8"/>
          <c:order val="8"/>
          <c:tx>
            <c:strRef>
              <c:f>'[Retention ART half 2020.xls]Sheet 1'!$K$1</c:f>
              <c:strCache>
                <c:ptCount val="1"/>
                <c:pt idx="0">
                  <c:v>106a-CA06B1 Transfers Out (TO)(All Patients)-12Mths 20+Yrs</c:v>
                </c:pt>
              </c:strCache>
            </c:strRef>
          </c:tx>
          <c:spPr>
            <a:solidFill>
              <a:schemeClr val="accent3">
                <a:lumMod val="60000"/>
              </a:schemeClr>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1'!$K$2:$K$14</c:f>
            </c:numRef>
          </c:val>
        </c:ser>
        <c:ser>
          <c:idx val="9"/>
          <c:order val="9"/>
          <c:tx>
            <c:strRef>
              <c:f>'[Retention ART half 2020.xls]Sheet 1'!$L$1</c:f>
              <c:strCache>
                <c:ptCount val="1"/>
                <c:pt idx="0">
                  <c:v>106a-CA12B1 No. of Cohort Alive and on ART (On Rx)(All Patients)-12Mths 0-9Yrs</c:v>
                </c:pt>
              </c:strCache>
            </c:strRef>
          </c:tx>
          <c:spPr>
            <a:solidFill>
              <a:schemeClr val="accent4">
                <a:lumMod val="60000"/>
              </a:schemeClr>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1'!$L$2:$L$14</c:f>
            </c:numRef>
          </c:val>
        </c:ser>
        <c:ser>
          <c:idx val="10"/>
          <c:order val="10"/>
          <c:tx>
            <c:strRef>
              <c:f>'[Retention ART half 2020.xls]Sheet 1'!$M$1</c:f>
              <c:strCache>
                <c:ptCount val="1"/>
                <c:pt idx="0">
                  <c:v>106a-CA12B1 No. of Cohort Alive and on ART (On Rx)(All Patients)-12Mths 10-19Yrs</c:v>
                </c:pt>
              </c:strCache>
            </c:strRef>
          </c:tx>
          <c:spPr>
            <a:solidFill>
              <a:schemeClr val="accent5">
                <a:lumMod val="60000"/>
              </a:schemeClr>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1'!$M$2:$M$14</c:f>
            </c:numRef>
          </c:val>
        </c:ser>
        <c:ser>
          <c:idx val="11"/>
          <c:order val="11"/>
          <c:tx>
            <c:strRef>
              <c:f>'[Retention ART half 2020.xls]Sheet 1'!$N$1</c:f>
              <c:strCache>
                <c:ptCount val="1"/>
                <c:pt idx="0">
                  <c:v>106a-CA12B1 No. of Cohort Alive and on ART (On Rx)(All Patients)-12Mths 20+Yrs</c:v>
                </c:pt>
              </c:strCache>
            </c:strRef>
          </c:tx>
          <c:spPr>
            <a:solidFill>
              <a:schemeClr val="accent6">
                <a:lumMod val="60000"/>
              </a:schemeClr>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1'!$N$2:$N$14</c:f>
            </c:numRef>
          </c:val>
        </c:ser>
        <c:ser>
          <c:idx val="12"/>
          <c:order val="12"/>
          <c:tx>
            <c:strRef>
              <c:f>'[Retention ART half 2020.xls]Sheet 1'!$O$1</c:f>
              <c:strCache>
                <c:ptCount val="1"/>
                <c:pt idx="0">
                  <c:v>Net current cohort</c:v>
                </c:pt>
              </c:strCache>
            </c:strRef>
          </c:tx>
          <c:spPr>
            <a:solidFill>
              <a:schemeClr val="accent1">
                <a:lumMod val="80000"/>
                <a:lumOff val="20000"/>
              </a:schemeClr>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1'!$O$2:$O$14</c:f>
            </c:numRef>
          </c:val>
        </c:ser>
        <c:ser>
          <c:idx val="13"/>
          <c:order val="13"/>
          <c:tx>
            <c:strRef>
              <c:f>'[Retention ART half 2020.xls]Sheet 1'!$P$1</c:f>
              <c:strCache>
                <c:ptCount val="1"/>
                <c:pt idx="0">
                  <c:v>Retention rate</c:v>
                </c:pt>
              </c:strCache>
            </c:strRef>
          </c:tx>
          <c:spPr>
            <a:solidFill>
              <a:schemeClr val="accent2">
                <a:lumMod val="80000"/>
                <a:lumOff val="20000"/>
              </a:schemeClr>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1'!$P$2:$P$14</c:f>
            </c:numRef>
          </c:val>
        </c:ser>
        <c:ser>
          <c:idx val="14"/>
          <c:order val="14"/>
          <c:tx>
            <c:strRef>
              <c:f>'[Retention ART half 2020.xls]Sheet 1'!$Q$1</c:f>
              <c:strCache>
                <c:ptCount val="1"/>
              </c:strCache>
            </c:strRef>
          </c:tx>
          <c:spPr>
            <a:solidFill>
              <a:schemeClr val="accent3">
                <a:lumMod val="80000"/>
                <a:lumOff val="20000"/>
              </a:schemeClr>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1'!$Q$2:$Q$14</c:f>
            </c:numRef>
          </c:val>
        </c:ser>
        <c:ser>
          <c:idx val="15"/>
          <c:order val="15"/>
          <c:tx>
            <c:strRef>
              <c:f>'[Retention ART half 2020.xls]Sheet 1'!$R$1</c:f>
              <c:strCache>
                <c:ptCount val="1"/>
                <c:pt idx="0">
                  <c:v>Retention rate</c:v>
                </c:pt>
              </c:strCache>
            </c:strRef>
          </c:tx>
          <c:spPr>
            <a:solidFill>
              <a:schemeClr val="accent4">
                <a:lumMod val="80000"/>
                <a:lumOff val="20000"/>
              </a:schemeClr>
            </a:solidFill>
            <a:ln>
              <a:noFill/>
            </a:ln>
            <a:effectLst/>
          </c:spPr>
          <c:invertIfNegative val="0"/>
          <c:cat>
            <c:strRef>
              <c:f>'[Retention ART half 2020.xls]Sheet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'[Retention ART half 2020.xls]Sheet 1'!$R$2:$R$14</c:f>
              <c:numCache>
                <c:formatCode>0%</c:formatCode>
                <c:ptCount val="13"/>
                <c:pt idx="0">
                  <c:v>0.74192982456140344</c:v>
                </c:pt>
                <c:pt idx="1">
                  <c:v>0.61680402930402933</c:v>
                </c:pt>
                <c:pt idx="2">
                  <c:v>0.76666666666666661</c:v>
                </c:pt>
                <c:pt idx="3">
                  <c:v>0.72751322751322745</c:v>
                </c:pt>
                <c:pt idx="4">
                  <c:v>0.62217741935483872</c:v>
                </c:pt>
                <c:pt idx="5">
                  <c:v>0.57195652173913047</c:v>
                </c:pt>
                <c:pt idx="6">
                  <c:v>0.88690476190476186</c:v>
                </c:pt>
                <c:pt idx="7">
                  <c:v>0.67</c:v>
                </c:pt>
                <c:pt idx="8">
                  <c:v>0.81025641025641026</c:v>
                </c:pt>
                <c:pt idx="9">
                  <c:v>0.81809947560781815</c:v>
                </c:pt>
                <c:pt idx="10">
                  <c:v>0.76979166666666665</c:v>
                </c:pt>
                <c:pt idx="11">
                  <c:v>0.72230769230769232</c:v>
                </c:pt>
                <c:pt idx="12">
                  <c:v>0.73065309584393545</c:v>
                </c:pt>
              </c:numCache>
            </c:numRef>
          </c:val>
        </c:ser>
        <c:dLbls>
          <c:showLegendKey val="0"/>
          <c:showVal val="0"/>
          <c:showCatName val="0"/>
          <c:showSerName val="0"/>
          <c:showPercent val="0"/>
          <c:showBubbleSize val="0"/>
        </c:dLbls>
        <c:gapWidth val="219"/>
        <c:overlap val="-27"/>
        <c:axId val="300596592"/>
        <c:axId val="300594632"/>
      </c:barChart>
      <c:catAx>
        <c:axId val="30059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594632"/>
        <c:crosses val="autoZero"/>
        <c:auto val="1"/>
        <c:lblAlgn val="ctr"/>
        <c:lblOffset val="100"/>
        <c:noMultiLvlLbl val="0"/>
      </c:catAx>
      <c:valAx>
        <c:axId val="300594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59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Quarterly</a:t>
            </a:r>
            <a:r>
              <a:rPr lang="en-US" baseline="0"/>
              <a:t> HIV TB services report by S/C </a:t>
            </a:r>
            <a:endParaRPr lang="en-US"/>
          </a:p>
        </c:rich>
      </c:tx>
      <c:overlay val="0"/>
      <c:spPr>
        <a:noFill/>
        <a:ln>
          <a:noFill/>
        </a:ln>
        <a:effectLst/>
      </c:spPr>
    </c:title>
    <c:autoTitleDeleted val="0"/>
    <c:plotArea>
      <c:layout/>
      <c:barChart>
        <c:barDir val="col"/>
        <c:grouping val="clustered"/>
        <c:varyColors val="0"/>
        <c:ser>
          <c:idx val="0"/>
          <c:order val="0"/>
          <c:tx>
            <c:strRef>
              <c:f>'Sheet 1'!$C$2</c:f>
              <c:strCache>
                <c:ptCount val="1"/>
                <c:pt idx="0">
                  <c:v>HMIS 012: HEI outcomes report</c:v>
                </c:pt>
              </c:strCache>
            </c:strRef>
          </c:tx>
          <c:spPr>
            <a:solidFill>
              <a:schemeClr val="accent1"/>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1'!$C$3:$C$15</c:f>
            </c:numRef>
          </c:val>
        </c:ser>
        <c:ser>
          <c:idx val="1"/>
          <c:order val="1"/>
          <c:tx>
            <c:strRef>
              <c:f>'Sheet 1'!$D$2</c:f>
              <c:strCache>
                <c:ptCount val="1"/>
                <c:pt idx="0">
                  <c:v>Target</c:v>
                </c:pt>
              </c:strCache>
            </c:strRef>
          </c:tx>
          <c:spPr>
            <a:solidFill>
              <a:schemeClr val="accent2"/>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1'!$D$3:$D$15</c:f>
            </c:numRef>
          </c:val>
        </c:ser>
        <c:ser>
          <c:idx val="2"/>
          <c:order val="2"/>
          <c:tx>
            <c:strRef>
              <c:f>'Sheet 1'!$E$2</c:f>
              <c:strCache>
                <c:ptCount val="1"/>
                <c:pt idx="0">
                  <c:v>HMIS 033b: Disease Surveillance </c:v>
                </c:pt>
              </c:strCache>
            </c:strRef>
          </c:tx>
          <c:spPr>
            <a:solidFill>
              <a:schemeClr val="accent3"/>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1'!$E$3:$E$15</c:f>
            </c:numRef>
          </c:val>
        </c:ser>
        <c:ser>
          <c:idx val="3"/>
          <c:order val="3"/>
          <c:tx>
            <c:strRef>
              <c:f>'Sheet 1'!$F$2</c:f>
              <c:strCache>
                <c:ptCount val="1"/>
                <c:pt idx="0">
                  <c:v>HMIS 097: VHT/ICCM Quarterly Report</c:v>
                </c:pt>
              </c:strCache>
            </c:strRef>
          </c:tx>
          <c:spPr>
            <a:solidFill>
              <a:schemeClr val="accent4"/>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1'!$F$3:$F$15</c:f>
            </c:numRef>
          </c:val>
        </c:ser>
        <c:ser>
          <c:idx val="4"/>
          <c:order val="4"/>
          <c:tx>
            <c:strRef>
              <c:f>'Sheet 1'!$G$2</c:f>
              <c:strCache>
                <c:ptCount val="1"/>
                <c:pt idx="0">
                  <c:v>HMIS 105:1 Outpatient report</c:v>
                </c:pt>
              </c:strCache>
            </c:strRef>
          </c:tx>
          <c:spPr>
            <a:solidFill>
              <a:schemeClr val="accent5"/>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1'!$G$3:$G$15</c:f>
            </c:numRef>
          </c:val>
        </c:ser>
        <c:ser>
          <c:idx val="5"/>
          <c:order val="5"/>
          <c:tx>
            <c:strRef>
              <c:f>'Sheet 1'!$H$2</c:f>
              <c:strCache>
                <c:ptCount val="1"/>
                <c:pt idx="0">
                  <c:v>HMIS 106a:1-2 HIV &amp; TB services</c:v>
                </c:pt>
              </c:strCache>
            </c:strRef>
          </c:tx>
          <c:spPr>
            <a:solidFill>
              <a:schemeClr val="accent6"/>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1'!$H$3:$H$15</c:f>
              <c:numCache>
                <c:formatCode>0</c:formatCode>
                <c:ptCount val="13"/>
                <c:pt idx="0">
                  <c:v>100</c:v>
                </c:pt>
                <c:pt idx="1">
                  <c:v>100</c:v>
                </c:pt>
                <c:pt idx="2">
                  <c:v>100</c:v>
                </c:pt>
                <c:pt idx="3">
                  <c:v>100</c:v>
                </c:pt>
                <c:pt idx="4">
                  <c:v>100</c:v>
                </c:pt>
                <c:pt idx="5">
                  <c:v>100</c:v>
                </c:pt>
                <c:pt idx="6">
                  <c:v>100</c:v>
                </c:pt>
                <c:pt idx="7">
                  <c:v>100</c:v>
                </c:pt>
                <c:pt idx="8">
                  <c:v>100</c:v>
                </c:pt>
                <c:pt idx="9">
                  <c:v>92</c:v>
                </c:pt>
                <c:pt idx="10">
                  <c:v>100</c:v>
                </c:pt>
                <c:pt idx="11">
                  <c:v>100</c:v>
                </c:pt>
                <c:pt idx="12">
                  <c:v>99.333333333333329</c:v>
                </c:pt>
              </c:numCache>
            </c:numRef>
          </c:val>
        </c:ser>
        <c:ser>
          <c:idx val="6"/>
          <c:order val="6"/>
          <c:tx>
            <c:strRef>
              <c:f>'Sheet 1'!$I$2</c:f>
              <c:strCache>
                <c:ptCount val="1"/>
                <c:pt idx="0">
                  <c:v>HMIS 108:1 In patient report</c:v>
                </c:pt>
              </c:strCache>
            </c:strRef>
          </c:tx>
          <c:spPr>
            <a:solidFill>
              <a:schemeClr val="accent1">
                <a:lumMod val="60000"/>
              </a:schemeClr>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1'!$I$3:$I$15</c:f>
            </c:numRef>
          </c:val>
        </c:ser>
        <c:dLbls>
          <c:showLegendKey val="0"/>
          <c:showVal val="0"/>
          <c:showCatName val="0"/>
          <c:showSerName val="0"/>
          <c:showPercent val="0"/>
          <c:showBubbleSize val="0"/>
        </c:dLbls>
        <c:gapWidth val="219"/>
        <c:overlap val="-27"/>
        <c:axId val="300595024"/>
        <c:axId val="300595416"/>
      </c:barChart>
      <c:lineChart>
        <c:grouping val="standard"/>
        <c:varyColors val="0"/>
        <c:ser>
          <c:idx val="7"/>
          <c:order val="7"/>
          <c:tx>
            <c:strRef>
              <c:f>'Sheet 1'!$J$2</c:f>
              <c:strCache>
                <c:ptCount val="1"/>
                <c:pt idx="0">
                  <c:v>Target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1'!$J$3:$J$15</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smooth val="0"/>
        </c:ser>
        <c:dLbls>
          <c:showLegendKey val="0"/>
          <c:showVal val="0"/>
          <c:showCatName val="0"/>
          <c:showSerName val="0"/>
          <c:showPercent val="0"/>
          <c:showBubbleSize val="0"/>
        </c:dLbls>
        <c:marker val="1"/>
        <c:smooth val="0"/>
        <c:axId val="300595024"/>
        <c:axId val="300595416"/>
      </c:lineChart>
      <c:catAx>
        <c:axId val="30059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00595416"/>
        <c:crosses val="autoZero"/>
        <c:auto val="1"/>
        <c:lblAlgn val="ctr"/>
        <c:lblOffset val="100"/>
        <c:noMultiLvlLbl val="0"/>
      </c:catAx>
      <c:valAx>
        <c:axId val="300595416"/>
        <c:scaling>
          <c:orientation val="minMax"/>
          <c:max val="10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Percent</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0059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Outpatient</a:t>
            </a:r>
            <a:r>
              <a:rPr lang="en-US" baseline="0"/>
              <a:t> reporting rates by S/C FY 2019/20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 1'!$C$2</c:f>
              <c:strCache>
                <c:ptCount val="1"/>
                <c:pt idx="0">
                  <c:v>HMIS 012: HEI outcomes report</c:v>
                </c:pt>
              </c:strCache>
            </c:strRef>
          </c:tx>
          <c:spPr>
            <a:solidFill>
              <a:schemeClr val="accent2"/>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1'!$C$3:$C$15</c:f>
            </c:numRef>
          </c:val>
        </c:ser>
        <c:ser>
          <c:idx val="1"/>
          <c:order val="1"/>
          <c:tx>
            <c:strRef>
              <c:f>'Sheet 1'!$D$2</c:f>
              <c:strCache>
                <c:ptCount val="1"/>
                <c:pt idx="0">
                  <c:v>Target</c:v>
                </c:pt>
              </c:strCache>
            </c:strRef>
          </c:tx>
          <c:spPr>
            <a:solidFill>
              <a:schemeClr val="accent4"/>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1'!$D$3:$D$15</c:f>
            </c:numRef>
          </c:val>
        </c:ser>
        <c:ser>
          <c:idx val="2"/>
          <c:order val="2"/>
          <c:tx>
            <c:strRef>
              <c:f>'Sheet 1'!$E$2</c:f>
              <c:strCache>
                <c:ptCount val="1"/>
                <c:pt idx="0">
                  <c:v>HMIS 033b: Disease Surveillance </c:v>
                </c:pt>
              </c:strCache>
            </c:strRef>
          </c:tx>
          <c:spPr>
            <a:solidFill>
              <a:schemeClr val="accent6"/>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1'!$E$3:$E$15</c:f>
            </c:numRef>
          </c:val>
        </c:ser>
        <c:ser>
          <c:idx val="3"/>
          <c:order val="3"/>
          <c:tx>
            <c:strRef>
              <c:f>'Sheet 1'!$F$2</c:f>
              <c:strCache>
                <c:ptCount val="1"/>
                <c:pt idx="0">
                  <c:v>HMIS 097: VHT/ICCM Quarterly Report</c:v>
                </c:pt>
              </c:strCache>
            </c:strRef>
          </c:tx>
          <c:spPr>
            <a:solidFill>
              <a:schemeClr val="accent2">
                <a:lumMod val="60000"/>
              </a:schemeClr>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1'!$F$3:$F$15</c:f>
            </c:numRef>
          </c:val>
        </c:ser>
        <c:ser>
          <c:idx val="4"/>
          <c:order val="4"/>
          <c:tx>
            <c:strRef>
              <c:f>'Sheet 1'!$G$2</c:f>
              <c:strCache>
                <c:ptCount val="1"/>
                <c:pt idx="0">
                  <c:v>HMIS 105:1 Outpatient report</c:v>
                </c:pt>
              </c:strCache>
            </c:strRef>
          </c:tx>
          <c:spPr>
            <a:solidFill>
              <a:schemeClr val="accent4">
                <a:lumMod val="60000"/>
              </a:schemeClr>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1'!$G$3:$G$15</c:f>
              <c:numCache>
                <c:formatCode>0</c:formatCode>
                <c:ptCount val="13"/>
                <c:pt idx="0">
                  <c:v>99</c:v>
                </c:pt>
                <c:pt idx="1">
                  <c:v>100</c:v>
                </c:pt>
                <c:pt idx="2">
                  <c:v>99</c:v>
                </c:pt>
                <c:pt idx="3">
                  <c:v>97</c:v>
                </c:pt>
                <c:pt idx="4">
                  <c:v>99</c:v>
                </c:pt>
                <c:pt idx="5">
                  <c:v>100</c:v>
                </c:pt>
                <c:pt idx="6">
                  <c:v>100</c:v>
                </c:pt>
                <c:pt idx="7">
                  <c:v>99</c:v>
                </c:pt>
                <c:pt idx="8">
                  <c:v>91</c:v>
                </c:pt>
                <c:pt idx="9">
                  <c:v>96</c:v>
                </c:pt>
                <c:pt idx="10">
                  <c:v>96</c:v>
                </c:pt>
                <c:pt idx="11">
                  <c:v>99</c:v>
                </c:pt>
                <c:pt idx="12">
                  <c:v>97.916666666666671</c:v>
                </c:pt>
              </c:numCache>
            </c:numRef>
          </c:val>
        </c:ser>
        <c:ser>
          <c:idx val="5"/>
          <c:order val="5"/>
          <c:tx>
            <c:strRef>
              <c:f>'Sheet 1'!$H$2</c:f>
              <c:strCache>
                <c:ptCount val="1"/>
                <c:pt idx="0">
                  <c:v>HMIS 106a:1-2 HIV &amp; TB services</c:v>
                </c:pt>
              </c:strCache>
            </c:strRef>
          </c:tx>
          <c:spPr>
            <a:solidFill>
              <a:schemeClr val="accent6">
                <a:lumMod val="60000"/>
              </a:schemeClr>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1'!$H$3:$H$15</c:f>
            </c:numRef>
          </c:val>
        </c:ser>
        <c:ser>
          <c:idx val="6"/>
          <c:order val="6"/>
          <c:tx>
            <c:strRef>
              <c:f>'Sheet 1'!$I$2</c:f>
              <c:strCache>
                <c:ptCount val="1"/>
                <c:pt idx="0">
                  <c:v>HMIS 108:1 In patient report</c:v>
                </c:pt>
              </c:strCache>
            </c:strRef>
          </c:tx>
          <c:spPr>
            <a:solidFill>
              <a:schemeClr val="accent2">
                <a:lumMod val="80000"/>
                <a:lumOff val="20000"/>
              </a:schemeClr>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1'!$I$3:$I$15</c:f>
            </c:numRef>
          </c:val>
        </c:ser>
        <c:dLbls>
          <c:showLegendKey val="0"/>
          <c:showVal val="0"/>
          <c:showCatName val="0"/>
          <c:showSerName val="0"/>
          <c:showPercent val="0"/>
          <c:showBubbleSize val="0"/>
        </c:dLbls>
        <c:gapWidth val="219"/>
        <c:overlap val="-27"/>
        <c:axId val="300597768"/>
        <c:axId val="300601296"/>
      </c:barChart>
      <c:lineChart>
        <c:grouping val="standard"/>
        <c:varyColors val="0"/>
        <c:ser>
          <c:idx val="7"/>
          <c:order val="7"/>
          <c:tx>
            <c:strRef>
              <c:f>'Sheet 1'!$J$2</c:f>
              <c:strCache>
                <c:ptCount val="1"/>
                <c:pt idx="0">
                  <c:v>Target</c:v>
                </c:pt>
              </c:strCache>
            </c:strRef>
          </c:tx>
          <c:spPr>
            <a:ln w="19050" cap="rnd" cmpd="sng" algn="ctr">
              <a:solidFill>
                <a:schemeClr val="accent4">
                  <a:lumMod val="80000"/>
                  <a:lumOff val="20000"/>
                </a:schemeClr>
              </a:solidFill>
              <a:prstDash val="solid"/>
              <a:round/>
            </a:ln>
            <a:effectLst/>
          </c:spPr>
          <c:marker>
            <c:symbol val="circle"/>
            <c:size val="5"/>
            <c:spPr>
              <a:solidFill>
                <a:schemeClr val="accent4">
                  <a:lumMod val="80000"/>
                  <a:lumOff val="20000"/>
                </a:schemeClr>
              </a:solidFill>
              <a:ln w="6350" cap="flat" cmpd="sng" algn="ctr">
                <a:solidFill>
                  <a:schemeClr val="accent4">
                    <a:lumMod val="80000"/>
                    <a:lumOff val="20000"/>
                  </a:schemeClr>
                </a:solidFill>
                <a:prstDash val="solid"/>
                <a:round/>
              </a:ln>
              <a:effectLst/>
            </c:spPr>
          </c:marker>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1'!$J$3:$J$15</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smooth val="0"/>
        </c:ser>
        <c:dLbls>
          <c:showLegendKey val="0"/>
          <c:showVal val="0"/>
          <c:showCatName val="0"/>
          <c:showSerName val="0"/>
          <c:showPercent val="0"/>
          <c:showBubbleSize val="0"/>
        </c:dLbls>
        <c:marker val="1"/>
        <c:smooth val="0"/>
        <c:axId val="300597768"/>
        <c:axId val="300601296"/>
      </c:lineChart>
      <c:catAx>
        <c:axId val="30059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601296"/>
        <c:crosses val="autoZero"/>
        <c:auto val="1"/>
        <c:lblAlgn val="ctr"/>
        <c:lblOffset val="100"/>
        <c:noMultiLvlLbl val="0"/>
      </c:catAx>
      <c:valAx>
        <c:axId val="300601296"/>
        <c:scaling>
          <c:orientation val="minMax"/>
          <c:max val="100"/>
          <c:min val="2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597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VHT/ICCM</a:t>
            </a:r>
            <a:r>
              <a:rPr lang="en-US" baseline="0"/>
              <a:t> reporting rates by S/C FY 2019/20</a:t>
            </a:r>
            <a:endParaRPr lang="en-US"/>
          </a:p>
        </c:rich>
      </c:tx>
      <c:overlay val="0"/>
      <c:spPr>
        <a:noFill/>
        <a:ln>
          <a:noFill/>
        </a:ln>
        <a:effectLst/>
      </c:spPr>
    </c:title>
    <c:autoTitleDeleted val="0"/>
    <c:plotArea>
      <c:layout/>
      <c:barChart>
        <c:barDir val="col"/>
        <c:grouping val="clustered"/>
        <c:varyColors val="0"/>
        <c:ser>
          <c:idx val="0"/>
          <c:order val="0"/>
          <c:tx>
            <c:strRef>
              <c:f>'Sheet 1'!$C$2</c:f>
              <c:strCache>
                <c:ptCount val="1"/>
                <c:pt idx="0">
                  <c:v>HMIS 012: HEI outcomes report</c:v>
                </c:pt>
              </c:strCache>
            </c:strRef>
          </c:tx>
          <c:spPr>
            <a:solidFill>
              <a:schemeClr val="accent1"/>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1'!$C$3:$C$15</c:f>
            </c:numRef>
          </c:val>
        </c:ser>
        <c:ser>
          <c:idx val="1"/>
          <c:order val="1"/>
          <c:tx>
            <c:strRef>
              <c:f>'Sheet 1'!$D$2</c:f>
              <c:strCache>
                <c:ptCount val="1"/>
                <c:pt idx="0">
                  <c:v>Target</c:v>
                </c:pt>
              </c:strCache>
            </c:strRef>
          </c:tx>
          <c:spPr>
            <a:solidFill>
              <a:schemeClr val="accent2"/>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1'!$D$3:$D$15</c:f>
            </c:numRef>
          </c:val>
        </c:ser>
        <c:ser>
          <c:idx val="2"/>
          <c:order val="2"/>
          <c:tx>
            <c:strRef>
              <c:f>'Sheet 1'!$E$2</c:f>
              <c:strCache>
                <c:ptCount val="1"/>
                <c:pt idx="0">
                  <c:v>HMIS 033b: Disease Surveillance </c:v>
                </c:pt>
              </c:strCache>
            </c:strRef>
          </c:tx>
          <c:spPr>
            <a:solidFill>
              <a:schemeClr val="accent3"/>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1'!$E$3:$E$15</c:f>
            </c:numRef>
          </c:val>
        </c:ser>
        <c:ser>
          <c:idx val="3"/>
          <c:order val="3"/>
          <c:tx>
            <c:strRef>
              <c:f>'Sheet 1'!$F$2</c:f>
              <c:strCache>
                <c:ptCount val="1"/>
                <c:pt idx="0">
                  <c:v>HMIS 097: VHT/ICCM Quarterly Report</c:v>
                </c:pt>
              </c:strCache>
            </c:strRef>
          </c:tx>
          <c:spPr>
            <a:solidFill>
              <a:schemeClr val="accent4"/>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1'!$F$3:$F$15</c:f>
              <c:numCache>
                <c:formatCode>0</c:formatCode>
                <c:ptCount val="13"/>
                <c:pt idx="0">
                  <c:v>50</c:v>
                </c:pt>
                <c:pt idx="1">
                  <c:v>50</c:v>
                </c:pt>
                <c:pt idx="2">
                  <c:v>47</c:v>
                </c:pt>
                <c:pt idx="3">
                  <c:v>33</c:v>
                </c:pt>
                <c:pt idx="4">
                  <c:v>38</c:v>
                </c:pt>
                <c:pt idx="5">
                  <c:v>48</c:v>
                </c:pt>
                <c:pt idx="6">
                  <c:v>25</c:v>
                </c:pt>
                <c:pt idx="7">
                  <c:v>13</c:v>
                </c:pt>
                <c:pt idx="8">
                  <c:v>42</c:v>
                </c:pt>
                <c:pt idx="9">
                  <c:v>30</c:v>
                </c:pt>
                <c:pt idx="10">
                  <c:v>25</c:v>
                </c:pt>
                <c:pt idx="11">
                  <c:v>25</c:v>
                </c:pt>
                <c:pt idx="12">
                  <c:v>35.5</c:v>
                </c:pt>
              </c:numCache>
            </c:numRef>
          </c:val>
        </c:ser>
        <c:ser>
          <c:idx val="4"/>
          <c:order val="4"/>
          <c:tx>
            <c:strRef>
              <c:f>'Sheet 1'!$G$2</c:f>
              <c:strCache>
                <c:ptCount val="1"/>
                <c:pt idx="0">
                  <c:v>HMIS 105:1 Outpatient report</c:v>
                </c:pt>
              </c:strCache>
            </c:strRef>
          </c:tx>
          <c:spPr>
            <a:solidFill>
              <a:schemeClr val="accent5"/>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1'!$G$3:$G$15</c:f>
            </c:numRef>
          </c:val>
        </c:ser>
        <c:ser>
          <c:idx val="5"/>
          <c:order val="5"/>
          <c:tx>
            <c:strRef>
              <c:f>'Sheet 1'!$H$2</c:f>
              <c:strCache>
                <c:ptCount val="1"/>
                <c:pt idx="0">
                  <c:v>HMIS 106a:1-2 HIV &amp; TB services</c:v>
                </c:pt>
              </c:strCache>
            </c:strRef>
          </c:tx>
          <c:spPr>
            <a:solidFill>
              <a:schemeClr val="accent6"/>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1'!$H$3:$H$15</c:f>
            </c:numRef>
          </c:val>
        </c:ser>
        <c:ser>
          <c:idx val="6"/>
          <c:order val="6"/>
          <c:tx>
            <c:strRef>
              <c:f>'Sheet 1'!$I$2</c:f>
              <c:strCache>
                <c:ptCount val="1"/>
                <c:pt idx="0">
                  <c:v>HMIS 108:1 In patient report</c:v>
                </c:pt>
              </c:strCache>
            </c:strRef>
          </c:tx>
          <c:spPr>
            <a:solidFill>
              <a:schemeClr val="accent1">
                <a:lumMod val="60000"/>
              </a:schemeClr>
            </a:solidFill>
            <a:ln>
              <a:noFill/>
            </a:ln>
            <a:effectLst/>
          </c:spPr>
          <c:invertIfNegative val="0"/>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1'!$I$3:$I$15</c:f>
            </c:numRef>
          </c:val>
        </c:ser>
        <c:dLbls>
          <c:showLegendKey val="0"/>
          <c:showVal val="0"/>
          <c:showCatName val="0"/>
          <c:showSerName val="0"/>
          <c:showPercent val="0"/>
          <c:showBubbleSize val="0"/>
        </c:dLbls>
        <c:gapWidth val="219"/>
        <c:overlap val="-27"/>
        <c:axId val="301104520"/>
        <c:axId val="301098640"/>
      </c:barChart>
      <c:lineChart>
        <c:grouping val="standard"/>
        <c:varyColors val="0"/>
        <c:ser>
          <c:idx val="7"/>
          <c:order val="7"/>
          <c:tx>
            <c:strRef>
              <c:f>'Sheet 1'!$J$2</c:f>
              <c:strCache>
                <c:ptCount val="1"/>
                <c:pt idx="0">
                  <c:v>Target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'Sheet 1'!$B$3:$B$15</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Jinja Central Division </c:v>
                </c:pt>
                <c:pt idx="8">
                  <c:v>Kakira Town Council</c:v>
                </c:pt>
                <c:pt idx="9">
                  <c:v>Mafubira Subcounty</c:v>
                </c:pt>
                <c:pt idx="10">
                  <c:v>Mpumudde Kimaka</c:v>
                </c:pt>
                <c:pt idx="11">
                  <c:v>Walukuba Masese</c:v>
                </c:pt>
                <c:pt idx="12">
                  <c:v>Jinja District</c:v>
                </c:pt>
              </c:strCache>
            </c:strRef>
          </c:cat>
          <c:val>
            <c:numRef>
              <c:f>'Sheet 1'!$J$3:$J$15</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smooth val="0"/>
        </c:ser>
        <c:dLbls>
          <c:showLegendKey val="0"/>
          <c:showVal val="0"/>
          <c:showCatName val="0"/>
          <c:showSerName val="0"/>
          <c:showPercent val="0"/>
          <c:showBubbleSize val="0"/>
        </c:dLbls>
        <c:marker val="1"/>
        <c:smooth val="0"/>
        <c:axId val="301104520"/>
        <c:axId val="301098640"/>
      </c:lineChart>
      <c:catAx>
        <c:axId val="30110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098640"/>
        <c:crosses val="autoZero"/>
        <c:auto val="1"/>
        <c:lblAlgn val="ctr"/>
        <c:lblOffset val="100"/>
        <c:noMultiLvlLbl val="0"/>
      </c:catAx>
      <c:valAx>
        <c:axId val="30109864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104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Caeserian</a:t>
            </a:r>
            <a:r>
              <a:rPr lang="en-US" baseline="0"/>
              <a:t> Section rate at HCIVs</a:t>
            </a:r>
            <a:endParaRPr lang="en-US"/>
          </a:p>
        </c:rich>
      </c:tx>
      <c:overlay val="0"/>
      <c:spPr>
        <a:noFill/>
        <a:ln>
          <a:noFill/>
        </a:ln>
        <a:effectLst/>
      </c:spPr>
    </c:title>
    <c:autoTitleDeleted val="0"/>
    <c:plotArea>
      <c:layout/>
      <c:barChart>
        <c:barDir val="col"/>
        <c:grouping val="clustered"/>
        <c:varyColors val="0"/>
        <c:ser>
          <c:idx val="0"/>
          <c:order val="0"/>
          <c:tx>
            <c:strRef>
              <c:f>'Sheet 1'!$C$2</c:f>
              <c:strCache>
                <c:ptCount val="1"/>
                <c:pt idx="0">
                  <c:v>108-3 MSP Caesarian Sections HC IV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1'!$B$3:$B$7</c:f>
              <c:strCache>
                <c:ptCount val="4"/>
                <c:pt idx="0">
                  <c:v>Budondo HC IV</c:v>
                </c:pt>
                <c:pt idx="1">
                  <c:v>Bugembe HC IV</c:v>
                </c:pt>
                <c:pt idx="2">
                  <c:v>Buwenge HC IV</c:v>
                </c:pt>
                <c:pt idx="3">
                  <c:v>Walukuba HC IV</c:v>
                </c:pt>
              </c:strCache>
            </c:strRef>
          </c:cat>
          <c:val>
            <c:numRef>
              <c:f>'Sheet 1'!$C$3:$C$7</c:f>
            </c:numRef>
          </c:val>
        </c:ser>
        <c:ser>
          <c:idx val="1"/>
          <c:order val="1"/>
          <c:tx>
            <c:strRef>
              <c:f>'Sheet 1'!$D$2</c:f>
              <c:strCache>
                <c:ptCount val="1"/>
                <c:pt idx="0">
                  <c:v>105-2.2a Deliveries in unit HC IV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1'!$B$3:$B$7</c:f>
              <c:strCache>
                <c:ptCount val="4"/>
                <c:pt idx="0">
                  <c:v>Budondo HC IV</c:v>
                </c:pt>
                <c:pt idx="1">
                  <c:v>Bugembe HC IV</c:v>
                </c:pt>
                <c:pt idx="2">
                  <c:v>Buwenge HC IV</c:v>
                </c:pt>
                <c:pt idx="3">
                  <c:v>Walukuba HC IV</c:v>
                </c:pt>
              </c:strCache>
            </c:strRef>
          </c:cat>
          <c:val>
            <c:numRef>
              <c:f>'Sheet 1'!$D$3:$D$7</c:f>
            </c:numRef>
          </c:val>
        </c:ser>
        <c:ser>
          <c:idx val="2"/>
          <c:order val="2"/>
          <c:tx>
            <c:strRef>
              <c:f>'Sheet 1'!$E$2</c:f>
              <c:strCache>
                <c:ptCount val="1"/>
                <c:pt idx="0">
                  <c:v>Caesarian section rate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1'!$B$3:$B$7</c:f>
              <c:strCache>
                <c:ptCount val="4"/>
                <c:pt idx="0">
                  <c:v>Budondo HC IV</c:v>
                </c:pt>
                <c:pt idx="1">
                  <c:v>Bugembe HC IV</c:v>
                </c:pt>
                <c:pt idx="2">
                  <c:v>Buwenge HC IV</c:v>
                </c:pt>
                <c:pt idx="3">
                  <c:v>Walukuba HC IV</c:v>
                </c:pt>
              </c:strCache>
            </c:strRef>
          </c:cat>
          <c:val>
            <c:numRef>
              <c:f>'Sheet 1'!$E$3:$E$7</c:f>
              <c:numCache>
                <c:formatCode>0%</c:formatCode>
                <c:ptCount val="4"/>
                <c:pt idx="0">
                  <c:v>0.17</c:v>
                </c:pt>
                <c:pt idx="1">
                  <c:v>0.08</c:v>
                </c:pt>
                <c:pt idx="2">
                  <c:v>0.11</c:v>
                </c:pt>
                <c:pt idx="3">
                  <c:v>0.01</c:v>
                </c:pt>
              </c:numCache>
            </c:numRef>
          </c:val>
        </c:ser>
        <c:ser>
          <c:idx val="3"/>
          <c:order val="3"/>
          <c:tx>
            <c:strRef>
              <c:f>'Sheet 1'!$F$2</c:f>
              <c:strCache>
                <c:ptCount val="1"/>
                <c:pt idx="0">
                  <c:v>Target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1'!$B$3:$B$7</c:f>
              <c:strCache>
                <c:ptCount val="4"/>
                <c:pt idx="0">
                  <c:v>Budondo HC IV</c:v>
                </c:pt>
                <c:pt idx="1">
                  <c:v>Bugembe HC IV</c:v>
                </c:pt>
                <c:pt idx="2">
                  <c:v>Buwenge HC IV</c:v>
                </c:pt>
                <c:pt idx="3">
                  <c:v>Walukuba HC IV</c:v>
                </c:pt>
              </c:strCache>
            </c:strRef>
          </c:cat>
          <c:val>
            <c:numRef>
              <c:f>'Sheet 1'!$F$3:$F$7</c:f>
              <c:numCache>
                <c:formatCode>0%</c:formatCode>
                <c:ptCount val="4"/>
                <c:pt idx="0">
                  <c:v>0.15</c:v>
                </c:pt>
                <c:pt idx="1">
                  <c:v>0.15</c:v>
                </c:pt>
                <c:pt idx="2">
                  <c:v>0.15</c:v>
                </c:pt>
                <c:pt idx="3">
                  <c:v>0.15</c:v>
                </c:pt>
              </c:numCache>
            </c:numRef>
          </c:val>
        </c:ser>
        <c:dLbls>
          <c:showLegendKey val="0"/>
          <c:showVal val="1"/>
          <c:showCatName val="0"/>
          <c:showSerName val="0"/>
          <c:showPercent val="0"/>
          <c:showBubbleSize val="0"/>
        </c:dLbls>
        <c:gapWidth val="219"/>
        <c:overlap val="-27"/>
        <c:axId val="929505440"/>
        <c:axId val="929505832"/>
      </c:barChart>
      <c:catAx>
        <c:axId val="92950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505832"/>
        <c:crosses val="autoZero"/>
        <c:auto val="1"/>
        <c:lblAlgn val="ctr"/>
        <c:lblOffset val="100"/>
        <c:noMultiLvlLbl val="0"/>
      </c:catAx>
      <c:valAx>
        <c:axId val="929505832"/>
        <c:scaling>
          <c:orientation val="minMax"/>
        </c:scaling>
        <c:delete val="1"/>
        <c:axPos val="l"/>
        <c:numFmt formatCode="0%" sourceLinked="1"/>
        <c:majorTickMark val="none"/>
        <c:minorTickMark val="none"/>
        <c:tickLblPos val="nextTo"/>
        <c:crossAx val="92950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4267912772585667E-2"/>
          <c:y val="5.4726368159203981E-2"/>
          <c:w val="0.93817818333455982"/>
          <c:h val="0.83454381635131425"/>
        </c:manualLayout>
      </c:layout>
      <c:barChart>
        <c:barDir val="col"/>
        <c:grouping val="clustered"/>
        <c:varyColors val="0"/>
        <c:ser>
          <c:idx val="0"/>
          <c:order val="0"/>
          <c:tx>
            <c:strRef>
              <c:f>'Sheet 1'!$M$12</c:f>
              <c:strCache>
                <c:ptCount val="1"/>
                <c:pt idx="0">
                  <c:v>Achievement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 1'!$L$13:$L$16</c:f>
              <c:strCache>
                <c:ptCount val="4"/>
                <c:pt idx="0">
                  <c:v>PNC 24 hours</c:v>
                </c:pt>
                <c:pt idx="1">
                  <c:v>PNC 6 days</c:v>
                </c:pt>
                <c:pt idx="2">
                  <c:v>PNC 6 weeks</c:v>
                </c:pt>
                <c:pt idx="3">
                  <c:v>PNC 6 months</c:v>
                </c:pt>
              </c:strCache>
            </c:strRef>
          </c:cat>
          <c:val>
            <c:numRef>
              <c:f>'Sheet 1'!$M$13:$M$16</c:f>
              <c:numCache>
                <c:formatCode>0%</c:formatCode>
                <c:ptCount val="4"/>
                <c:pt idx="0">
                  <c:v>0.89</c:v>
                </c:pt>
                <c:pt idx="1">
                  <c:v>0.28999999999999998</c:v>
                </c:pt>
                <c:pt idx="2">
                  <c:v>0.6</c:v>
                </c:pt>
                <c:pt idx="3">
                  <c:v>0.28999999999999998</c:v>
                </c:pt>
              </c:numCache>
            </c:numRef>
          </c:val>
        </c:ser>
        <c:ser>
          <c:idx val="1"/>
          <c:order val="1"/>
          <c:tx>
            <c:strRef>
              <c:f>'Sheet 1'!$N$12</c:f>
              <c:strCache>
                <c:ptCount val="1"/>
                <c:pt idx="0">
                  <c:v>Target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 1'!$L$13:$L$16</c:f>
              <c:strCache>
                <c:ptCount val="4"/>
                <c:pt idx="0">
                  <c:v>PNC 24 hours</c:v>
                </c:pt>
                <c:pt idx="1">
                  <c:v>PNC 6 days</c:v>
                </c:pt>
                <c:pt idx="2">
                  <c:v>PNC 6 weeks</c:v>
                </c:pt>
                <c:pt idx="3">
                  <c:v>PNC 6 months</c:v>
                </c:pt>
              </c:strCache>
            </c:strRef>
          </c:cat>
          <c:val>
            <c:numRef>
              <c:f>'Sheet 1'!$N$13:$N$16</c:f>
              <c:numCache>
                <c:formatCode>0%</c:formatCode>
                <c:ptCount val="4"/>
                <c:pt idx="0">
                  <c:v>0.65</c:v>
                </c:pt>
                <c:pt idx="1">
                  <c:v>0.65</c:v>
                </c:pt>
                <c:pt idx="2">
                  <c:v>0.65</c:v>
                </c:pt>
                <c:pt idx="3">
                  <c:v>0.65</c:v>
                </c:pt>
              </c:numCache>
            </c:numRef>
          </c:val>
        </c:ser>
        <c:dLbls>
          <c:showLegendKey val="0"/>
          <c:showVal val="1"/>
          <c:showCatName val="0"/>
          <c:showSerName val="0"/>
          <c:showPercent val="0"/>
          <c:showBubbleSize val="0"/>
        </c:dLbls>
        <c:gapWidth val="150"/>
        <c:axId val="921918704"/>
        <c:axId val="921922232"/>
      </c:barChart>
      <c:catAx>
        <c:axId val="92191870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921922232"/>
        <c:crosses val="autoZero"/>
        <c:auto val="1"/>
        <c:lblAlgn val="ctr"/>
        <c:lblOffset val="100"/>
        <c:noMultiLvlLbl val="0"/>
      </c:catAx>
      <c:valAx>
        <c:axId val="921922232"/>
        <c:scaling>
          <c:orientation val="minMax"/>
        </c:scaling>
        <c:delete val="1"/>
        <c:axPos val="l"/>
        <c:numFmt formatCode="0%" sourceLinked="1"/>
        <c:majorTickMark val="out"/>
        <c:minorTickMark val="none"/>
        <c:tickLblPos val="nextTo"/>
        <c:crossAx val="921918704"/>
        <c:crosses val="autoZero"/>
        <c:crossBetween val="between"/>
      </c:valAx>
      <c:spPr>
        <a:solidFill>
          <a:schemeClr val="bg1"/>
        </a:solidFill>
        <a:ln>
          <a:noFill/>
        </a:ln>
        <a:effectLst/>
      </c:spPr>
    </c:plotArea>
    <c:legend>
      <c:legendPos val="r"/>
      <c:layout>
        <c:manualLayout>
          <c:xMode val="edge"/>
          <c:yMode val="edge"/>
          <c:x val="0.7263401771040302"/>
          <c:y val="2.6950679672503624E-2"/>
          <c:w val="0.22693085093335297"/>
          <c:h val="0.179929486426137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Option</a:t>
            </a:r>
            <a:r>
              <a:rPr lang="en-US" baseline="0"/>
              <a:t> B+ performance FY 2019/20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ART initiation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Sheet1!$B$1:$E$1</c:f>
              <c:strCache>
                <c:ptCount val="4"/>
                <c:pt idx="0">
                  <c:v>ANC</c:v>
                </c:pt>
                <c:pt idx="1">
                  <c:v>MAT</c:v>
                </c:pt>
                <c:pt idx="2">
                  <c:v>PNC</c:v>
                </c:pt>
                <c:pt idx="3">
                  <c:v>Option B+ performance</c:v>
                </c:pt>
              </c:strCache>
            </c:strRef>
          </c:cat>
          <c:val>
            <c:numRef>
              <c:f>Sheet1!$B$2:$E$2</c:f>
              <c:numCache>
                <c:formatCode>0%</c:formatCode>
                <c:ptCount val="4"/>
                <c:pt idx="0">
                  <c:v>0.97</c:v>
                </c:pt>
                <c:pt idx="1">
                  <c:v>1</c:v>
                </c:pt>
                <c:pt idx="2">
                  <c:v>0.84</c:v>
                </c:pt>
                <c:pt idx="3">
                  <c:v>0.93666666666666665</c:v>
                </c:pt>
              </c:numCache>
            </c:numRef>
          </c:val>
        </c:ser>
        <c:dLbls>
          <c:showLegendKey val="0"/>
          <c:showVal val="0"/>
          <c:showCatName val="0"/>
          <c:showSerName val="0"/>
          <c:showPercent val="0"/>
          <c:showBubbleSize val="0"/>
        </c:dLbls>
        <c:gapWidth val="219"/>
        <c:overlap val="-27"/>
        <c:axId val="921925368"/>
        <c:axId val="921919096"/>
      </c:barChart>
      <c:lineChart>
        <c:grouping val="standard"/>
        <c:varyColors val="0"/>
        <c:ser>
          <c:idx val="1"/>
          <c:order val="1"/>
          <c:tx>
            <c:strRef>
              <c:f>Sheet1!$A$3</c:f>
              <c:strCache>
                <c:ptCount val="1"/>
                <c:pt idx="0">
                  <c:v>Target</c:v>
                </c:pt>
              </c:strCache>
            </c:strRef>
          </c:tx>
          <c:spPr>
            <a:ln w="19050" cap="rnd" cmpd="sng" algn="ctr">
              <a:solidFill>
                <a:schemeClr val="accent5"/>
              </a:solidFill>
              <a:prstDash val="solid"/>
              <a:round/>
            </a:ln>
            <a:effectLst/>
          </c:spPr>
          <c:marker>
            <c:symbol val="circle"/>
            <c:size val="5"/>
            <c:spPr>
              <a:solidFill>
                <a:schemeClr val="accent5"/>
              </a:solidFill>
              <a:ln w="6350" cap="flat" cmpd="sng" algn="ctr">
                <a:solidFill>
                  <a:schemeClr val="accent5"/>
                </a:solidFill>
                <a:prstDash val="solid"/>
                <a:round/>
              </a:ln>
              <a:effectLst/>
            </c:spPr>
          </c:marker>
          <c:cat>
            <c:strRef>
              <c:f>Sheet1!$B$1:$E$1</c:f>
              <c:strCache>
                <c:ptCount val="4"/>
                <c:pt idx="0">
                  <c:v>ANC</c:v>
                </c:pt>
                <c:pt idx="1">
                  <c:v>MAT</c:v>
                </c:pt>
                <c:pt idx="2">
                  <c:v>PNC</c:v>
                </c:pt>
                <c:pt idx="3">
                  <c:v>Option B+ performance</c:v>
                </c:pt>
              </c:strCache>
            </c:strRef>
          </c:cat>
          <c:val>
            <c:numRef>
              <c:f>Sheet1!$B$3:$E$3</c:f>
              <c:numCache>
                <c:formatCode>0%</c:formatCode>
                <c:ptCount val="4"/>
                <c:pt idx="0">
                  <c:v>0.95</c:v>
                </c:pt>
                <c:pt idx="1">
                  <c:v>0.95</c:v>
                </c:pt>
                <c:pt idx="2">
                  <c:v>0.95</c:v>
                </c:pt>
                <c:pt idx="3">
                  <c:v>0.95</c:v>
                </c:pt>
              </c:numCache>
            </c:numRef>
          </c:val>
          <c:smooth val="0"/>
        </c:ser>
        <c:dLbls>
          <c:showLegendKey val="0"/>
          <c:showVal val="0"/>
          <c:showCatName val="0"/>
          <c:showSerName val="0"/>
          <c:showPercent val="0"/>
          <c:showBubbleSize val="0"/>
        </c:dLbls>
        <c:marker val="1"/>
        <c:smooth val="0"/>
        <c:axId val="921925368"/>
        <c:axId val="921919096"/>
      </c:lineChart>
      <c:catAx>
        <c:axId val="9219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919096"/>
        <c:crosses val="autoZero"/>
        <c:auto val="1"/>
        <c:lblAlgn val="ctr"/>
        <c:lblOffset val="100"/>
        <c:noMultiLvlLbl val="0"/>
      </c:catAx>
      <c:valAx>
        <c:axId val="921919096"/>
        <c:scaling>
          <c:orientation val="minMax"/>
          <c:max val="1"/>
          <c:min val="0.2"/>
        </c:scaling>
        <c:delete val="0"/>
        <c:axPos val="l"/>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92192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Immunisation in Jinja FY 2019/20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Word]Sheet 1'!$B$17</c:f>
              <c:strCache>
                <c:ptCount val="1"/>
                <c:pt idx="0">
                  <c:v>Achievement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'[Chart in Microsoft Word]Sheet 1'!$C$16:$H$16</c:f>
              <c:strCache>
                <c:ptCount val="6"/>
                <c:pt idx="0">
                  <c:v>DPT1</c:v>
                </c:pt>
                <c:pt idx="1">
                  <c:v>DPT3</c:v>
                </c:pt>
                <c:pt idx="2">
                  <c:v>PCV3</c:v>
                </c:pt>
                <c:pt idx="3">
                  <c:v>Measles</c:v>
                </c:pt>
                <c:pt idx="4">
                  <c:v>HPV1</c:v>
                </c:pt>
                <c:pt idx="5">
                  <c:v>HPV2</c:v>
                </c:pt>
              </c:strCache>
            </c:strRef>
          </c:cat>
          <c:val>
            <c:numRef>
              <c:f>'[Chart in Microsoft Word]Sheet 1'!$C$17:$H$17</c:f>
              <c:numCache>
                <c:formatCode>0%</c:formatCode>
                <c:ptCount val="6"/>
                <c:pt idx="0">
                  <c:v>1</c:v>
                </c:pt>
                <c:pt idx="1">
                  <c:v>0.85</c:v>
                </c:pt>
                <c:pt idx="2">
                  <c:v>0.85</c:v>
                </c:pt>
                <c:pt idx="3">
                  <c:v>0.79</c:v>
                </c:pt>
                <c:pt idx="4">
                  <c:v>0.32</c:v>
                </c:pt>
                <c:pt idx="5">
                  <c:v>0.33</c:v>
                </c:pt>
              </c:numCache>
            </c:numRef>
          </c:val>
        </c:ser>
        <c:ser>
          <c:idx val="1"/>
          <c:order val="1"/>
          <c:tx>
            <c:strRef>
              <c:f>'[Chart in Microsoft Word]Sheet 1'!$B$18</c:f>
              <c:strCache>
                <c:ptCount val="1"/>
                <c:pt idx="0">
                  <c:v>Target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 1'!$C$16:$H$16</c:f>
              <c:strCache>
                <c:ptCount val="6"/>
                <c:pt idx="0">
                  <c:v>DPT1</c:v>
                </c:pt>
                <c:pt idx="1">
                  <c:v>DPT3</c:v>
                </c:pt>
                <c:pt idx="2">
                  <c:v>PCV3</c:v>
                </c:pt>
                <c:pt idx="3">
                  <c:v>Measles</c:v>
                </c:pt>
                <c:pt idx="4">
                  <c:v>HPV1</c:v>
                </c:pt>
                <c:pt idx="5">
                  <c:v>HPV2</c:v>
                </c:pt>
              </c:strCache>
            </c:strRef>
          </c:cat>
          <c:val>
            <c:numRef>
              <c:f>'[Chart in Microsoft Word]Sheet 1'!$C$18:$H$18</c:f>
              <c:numCache>
                <c:formatCode>0%</c:formatCode>
                <c:ptCount val="6"/>
                <c:pt idx="0">
                  <c:v>0.97</c:v>
                </c:pt>
                <c:pt idx="1">
                  <c:v>0.97</c:v>
                </c:pt>
                <c:pt idx="2">
                  <c:v>0.97</c:v>
                </c:pt>
                <c:pt idx="3">
                  <c:v>0.9</c:v>
                </c:pt>
                <c:pt idx="4">
                  <c:v>1</c:v>
                </c:pt>
                <c:pt idx="5">
                  <c:v>1</c:v>
                </c:pt>
              </c:numCache>
            </c:numRef>
          </c:val>
        </c:ser>
        <c:dLbls>
          <c:showLegendKey val="0"/>
          <c:showVal val="1"/>
          <c:showCatName val="0"/>
          <c:showSerName val="0"/>
          <c:showPercent val="0"/>
          <c:showBubbleSize val="0"/>
        </c:dLbls>
        <c:gapWidth val="219"/>
        <c:overlap val="-27"/>
        <c:axId val="921914000"/>
        <c:axId val="921914392"/>
      </c:barChart>
      <c:catAx>
        <c:axId val="92191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914392"/>
        <c:crosses val="autoZero"/>
        <c:auto val="1"/>
        <c:lblAlgn val="ctr"/>
        <c:lblOffset val="100"/>
        <c:noMultiLvlLbl val="0"/>
      </c:catAx>
      <c:valAx>
        <c:axId val="921914392"/>
        <c:scaling>
          <c:orientation val="minMax"/>
          <c:max val="1"/>
        </c:scaling>
        <c:delete val="1"/>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crossAx val="9219140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Malaria testing rates by S/C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(35).xls]Sheet 1'!$C$1</c:f>
              <c:strCache>
                <c:ptCount val="1"/>
                <c:pt idx="0">
                  <c:v>105-EP01a. Suspected fever</c:v>
                </c:pt>
              </c:strCache>
            </c:strRef>
          </c:tx>
          <c:spPr>
            <a:solidFill>
              <a:schemeClr val="accent1"/>
            </a:solidFill>
            <a:ln>
              <a:noFill/>
            </a:ln>
            <a:effectLst/>
          </c:spPr>
          <c:invertIfNegative val="0"/>
          <c:cat>
            <c:strRef>
              <c:f>'[data (35).xls]Sheet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'[data (35).xls]Sheet 1'!$C$2:$C$14</c:f>
            </c:numRef>
          </c:val>
        </c:ser>
        <c:ser>
          <c:idx val="1"/>
          <c:order val="1"/>
          <c:tx>
            <c:strRef>
              <c:f>'[data (35).xls]Sheet 1'!$D$1</c:f>
              <c:strCache>
                <c:ptCount val="1"/>
                <c:pt idx="0">
                  <c:v>105-EP01d. Malaria cases treated</c:v>
                </c:pt>
              </c:strCache>
            </c:strRef>
          </c:tx>
          <c:spPr>
            <a:solidFill>
              <a:schemeClr val="accent2"/>
            </a:solidFill>
            <a:ln>
              <a:noFill/>
            </a:ln>
            <a:effectLst/>
          </c:spPr>
          <c:invertIfNegative val="0"/>
          <c:cat>
            <c:strRef>
              <c:f>'[data (35).xls]Sheet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'[data (35).xls]Sheet 1'!$D$2:$D$14</c:f>
            </c:numRef>
          </c:val>
        </c:ser>
        <c:ser>
          <c:idx val="2"/>
          <c:order val="2"/>
          <c:tx>
            <c:strRef>
              <c:f>'[data (35).xls]Sheet 1'!$E$1</c:f>
              <c:strCache>
                <c:ptCount val="1"/>
              </c:strCache>
            </c:strRef>
          </c:tx>
          <c:spPr>
            <a:solidFill>
              <a:schemeClr val="accent3"/>
            </a:solidFill>
            <a:ln>
              <a:noFill/>
            </a:ln>
            <a:effectLst/>
          </c:spPr>
          <c:invertIfNegative val="0"/>
          <c:cat>
            <c:strRef>
              <c:f>'[data (35).xls]Sheet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'[data (35).xls]Sheet 1'!$E$2:$E$14</c:f>
            </c:numRef>
          </c:val>
        </c:ser>
        <c:ser>
          <c:idx val="3"/>
          <c:order val="3"/>
          <c:tx>
            <c:strRef>
              <c:f>'[data (35).xls]Sheet 1'!$F$1</c:f>
              <c:strCache>
                <c:ptCount val="1"/>
              </c:strCache>
            </c:strRef>
          </c:tx>
          <c:spPr>
            <a:solidFill>
              <a:schemeClr val="accent4"/>
            </a:solidFill>
            <a:ln>
              <a:noFill/>
            </a:ln>
            <a:effectLst/>
          </c:spPr>
          <c:invertIfNegative val="0"/>
          <c:cat>
            <c:strRef>
              <c:f>'[data (35).xls]Sheet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'[data (35).xls]Sheet 1'!$F$2:$F$14</c:f>
            </c:numRef>
          </c:val>
        </c:ser>
        <c:ser>
          <c:idx val="4"/>
          <c:order val="4"/>
          <c:tx>
            <c:strRef>
              <c:f>'[data (35).xls]Sheet 1'!$G$1</c:f>
              <c:strCache>
                <c:ptCount val="1"/>
                <c:pt idx="0">
                  <c:v>Malaria testing rates</c:v>
                </c:pt>
              </c:strCache>
            </c:strRef>
          </c:tx>
          <c:spPr>
            <a:solidFill>
              <a:schemeClr val="accent5"/>
            </a:solidFill>
            <a:ln>
              <a:noFill/>
            </a:ln>
            <a:effectLst/>
          </c:spPr>
          <c:invertIfNegative val="0"/>
          <c:cat>
            <c:strRef>
              <c:f>'[data (35).xls]Sheet 1'!$B$2:$B$14</c:f>
              <c:strCache>
                <c:ptCount val="13"/>
                <c:pt idx="0">
                  <c:v>Budondo Subcounty</c:v>
                </c:pt>
                <c:pt idx="1">
                  <c:v>Bugembe Town Council</c:v>
                </c:pt>
                <c:pt idx="2">
                  <c:v>Busedde Subcounty</c:v>
                </c:pt>
                <c:pt idx="3">
                  <c:v>Butagaya Subcounty</c:v>
                </c:pt>
                <c:pt idx="4">
                  <c:v>Buwenge Subcounty</c:v>
                </c:pt>
                <c:pt idx="5">
                  <c:v>Buwenge Town Council</c:v>
                </c:pt>
                <c:pt idx="6">
                  <c:v>Buyengo Subcounty</c:v>
                </c:pt>
                <c:pt idx="7">
                  <c:v>Central Division (Jinja MC)</c:v>
                </c:pt>
                <c:pt idx="8">
                  <c:v>Kakira Town Council</c:v>
                </c:pt>
                <c:pt idx="9">
                  <c:v>Mafubira Subcounty</c:v>
                </c:pt>
                <c:pt idx="10">
                  <c:v>Mpumudde Kimaka Division</c:v>
                </c:pt>
                <c:pt idx="11">
                  <c:v>Walukuba Masese Division</c:v>
                </c:pt>
                <c:pt idx="12">
                  <c:v>Jinja</c:v>
                </c:pt>
              </c:strCache>
            </c:strRef>
          </c:cat>
          <c:val>
            <c:numRef>
              <c:f>'[data (35).xls]Sheet 1'!$G$2:$G$14</c:f>
              <c:numCache>
                <c:formatCode>0%</c:formatCode>
                <c:ptCount val="13"/>
                <c:pt idx="0">
                  <c:v>0.72430011628014646</c:v>
                </c:pt>
                <c:pt idx="1">
                  <c:v>0.70188829266729269</c:v>
                </c:pt>
                <c:pt idx="2">
                  <c:v>0.79322624482422399</c:v>
                </c:pt>
                <c:pt idx="3">
                  <c:v>0.820425399784253</c:v>
                </c:pt>
                <c:pt idx="4">
                  <c:v>0.7550114377448589</c:v>
                </c:pt>
                <c:pt idx="5">
                  <c:v>0.70425818242593541</c:v>
                </c:pt>
                <c:pt idx="6">
                  <c:v>0.79061961295927408</c:v>
                </c:pt>
                <c:pt idx="7">
                  <c:v>0.4846252302680466</c:v>
                </c:pt>
                <c:pt idx="8">
                  <c:v>0.61959132304868114</c:v>
                </c:pt>
                <c:pt idx="9">
                  <c:v>0.55388497329228437</c:v>
                </c:pt>
                <c:pt idx="10">
                  <c:v>0.61885497062828876</c:v>
                </c:pt>
                <c:pt idx="11">
                  <c:v>0.70304670506577405</c:v>
                </c:pt>
                <c:pt idx="12">
                  <c:v>0.69775303636523245</c:v>
                </c:pt>
              </c:numCache>
            </c:numRef>
          </c:val>
        </c:ser>
        <c:dLbls>
          <c:showLegendKey val="0"/>
          <c:showVal val="0"/>
          <c:showCatName val="0"/>
          <c:showSerName val="0"/>
          <c:showPercent val="0"/>
          <c:showBubbleSize val="0"/>
        </c:dLbls>
        <c:gapWidth val="219"/>
        <c:overlap val="-27"/>
        <c:axId val="921915176"/>
        <c:axId val="921920664"/>
      </c:barChart>
      <c:catAx>
        <c:axId val="92191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920664"/>
        <c:crosses val="autoZero"/>
        <c:auto val="1"/>
        <c:lblAlgn val="ctr"/>
        <c:lblOffset val="100"/>
        <c:noMultiLvlLbl val="0"/>
      </c:catAx>
      <c:valAx>
        <c:axId val="9219206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915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2020</c:v>
          </c:tx>
          <c:spPr>
            <a:ln w="38100" cap="rnd">
              <a:solidFill>
                <a:schemeClr val="accent1"/>
              </a:solidFill>
              <a:round/>
            </a:ln>
            <a:effectLst/>
          </c:spPr>
          <c:marker>
            <c:symbol val="none"/>
          </c:marker>
          <c:val>
            <c:numRef>
              <c:f>Data!$K$2:$K$34</c:f>
              <c:numCache>
                <c:formatCode>General</c:formatCode>
                <c:ptCount val="33"/>
                <c:pt idx="0">
                  <c:v>8</c:v>
                </c:pt>
                <c:pt idx="1">
                  <c:v>8</c:v>
                </c:pt>
                <c:pt idx="2">
                  <c:v>7</c:v>
                </c:pt>
                <c:pt idx="3">
                  <c:v>1687</c:v>
                </c:pt>
                <c:pt idx="4">
                  <c:v>1292</c:v>
                </c:pt>
                <c:pt idx="5">
                  <c:v>2440</c:v>
                </c:pt>
                <c:pt idx="6">
                  <c:v>2467</c:v>
                </c:pt>
                <c:pt idx="7">
                  <c:v>2542</c:v>
                </c:pt>
                <c:pt idx="8">
                  <c:v>2650</c:v>
                </c:pt>
                <c:pt idx="9">
                  <c:v>2223</c:v>
                </c:pt>
                <c:pt idx="10">
                  <c:v>2580</c:v>
                </c:pt>
                <c:pt idx="11">
                  <c:v>2830</c:v>
                </c:pt>
                <c:pt idx="12">
                  <c:v>2069</c:v>
                </c:pt>
                <c:pt idx="13">
                  <c:v>1431</c:v>
                </c:pt>
                <c:pt idx="14">
                  <c:v>1984</c:v>
                </c:pt>
                <c:pt idx="15">
                  <c:v>1485</c:v>
                </c:pt>
                <c:pt idx="16">
                  <c:v>1611</c:v>
                </c:pt>
                <c:pt idx="17">
                  <c:v>1685</c:v>
                </c:pt>
                <c:pt idx="18">
                  <c:v>1742</c:v>
                </c:pt>
                <c:pt idx="19">
                  <c:v>2227</c:v>
                </c:pt>
                <c:pt idx="20">
                  <c:v>3030</c:v>
                </c:pt>
                <c:pt idx="21">
                  <c:v>3363</c:v>
                </c:pt>
                <c:pt idx="22">
                  <c:v>2429</c:v>
                </c:pt>
                <c:pt idx="23">
                  <c:v>1881</c:v>
                </c:pt>
                <c:pt idx="24">
                  <c:v>3330</c:v>
                </c:pt>
                <c:pt idx="25">
                  <c:v>3768</c:v>
                </c:pt>
                <c:pt idx="26">
                  <c:v>3085</c:v>
                </c:pt>
                <c:pt idx="27">
                  <c:v>2734</c:v>
                </c:pt>
                <c:pt idx="28">
                  <c:v>2484</c:v>
                </c:pt>
                <c:pt idx="29">
                  <c:v>2440</c:v>
                </c:pt>
                <c:pt idx="30">
                  <c:v>2350</c:v>
                </c:pt>
                <c:pt idx="31">
                  <c:v>2365</c:v>
                </c:pt>
              </c:numCache>
            </c:numRef>
          </c:val>
          <c:smooth val="0"/>
        </c:ser>
        <c:ser>
          <c:idx val="1"/>
          <c:order val="1"/>
          <c:tx>
            <c:v>Mean +2SD</c:v>
          </c:tx>
          <c:spPr>
            <a:ln w="38100" cap="rnd">
              <a:solidFill>
                <a:schemeClr val="accent2"/>
              </a:solidFill>
              <a:round/>
            </a:ln>
            <a:effectLst/>
          </c:spPr>
          <c:marker>
            <c:symbol val="none"/>
          </c:marker>
          <c:val>
            <c:numRef>
              <c:f>Data!$J$2:$J$53</c:f>
              <c:numCache>
                <c:formatCode>0.00</c:formatCode>
                <c:ptCount val="52"/>
                <c:pt idx="0">
                  <c:v>3898.6058197095035</c:v>
                </c:pt>
                <c:pt idx="1">
                  <c:v>3636.7795473438691</c:v>
                </c:pt>
                <c:pt idx="2">
                  <c:v>4569.1934204698719</c:v>
                </c:pt>
                <c:pt idx="3">
                  <c:v>3692.2499165033519</c:v>
                </c:pt>
                <c:pt idx="4">
                  <c:v>4441.2830595220112</c:v>
                </c:pt>
                <c:pt idx="5">
                  <c:v>3844.91101935183</c:v>
                </c:pt>
                <c:pt idx="6">
                  <c:v>4244.700201829226</c:v>
                </c:pt>
                <c:pt idx="7">
                  <c:v>3633.4905901396346</c:v>
                </c:pt>
                <c:pt idx="8">
                  <c:v>3195.077561450571</c:v>
                </c:pt>
                <c:pt idx="9">
                  <c:v>3416.2189188037582</c:v>
                </c:pt>
                <c:pt idx="10">
                  <c:v>3221.466064377456</c:v>
                </c:pt>
                <c:pt idx="11">
                  <c:v>2930.4854308160734</c:v>
                </c:pt>
                <c:pt idx="12">
                  <c:v>4010.8052359628391</c:v>
                </c:pt>
                <c:pt idx="13">
                  <c:v>4182.0403931285882</c:v>
                </c:pt>
                <c:pt idx="14">
                  <c:v>4800.8236627714905</c:v>
                </c:pt>
                <c:pt idx="15">
                  <c:v>4455.2937592881262</c:v>
                </c:pt>
                <c:pt idx="16">
                  <c:v>5442.1269298996176</c:v>
                </c:pt>
                <c:pt idx="17">
                  <c:v>4646.0968324544083</c:v>
                </c:pt>
                <c:pt idx="18">
                  <c:v>4238.0565557561176</c:v>
                </c:pt>
                <c:pt idx="19">
                  <c:v>4501.5726698635835</c:v>
                </c:pt>
                <c:pt idx="20">
                  <c:v>4975.2613802152682</c:v>
                </c:pt>
                <c:pt idx="21">
                  <c:v>5803.4799097727855</c:v>
                </c:pt>
                <c:pt idx="22">
                  <c:v>5239.7057505454432</c:v>
                </c:pt>
                <c:pt idx="23">
                  <c:v>5277.168413588648</c:v>
                </c:pt>
                <c:pt idx="24">
                  <c:v>5063.5278301171084</c:v>
                </c:pt>
                <c:pt idx="25">
                  <c:v>5803.3870990404621</c:v>
                </c:pt>
                <c:pt idx="26">
                  <c:v>4935.1493213430413</c:v>
                </c:pt>
                <c:pt idx="27">
                  <c:v>4480.2625421607881</c:v>
                </c:pt>
                <c:pt idx="28">
                  <c:v>4149.0186553318144</c:v>
                </c:pt>
                <c:pt idx="29">
                  <c:v>4453.7168878028806</c:v>
                </c:pt>
                <c:pt idx="30">
                  <c:v>3779.8244584082126</c:v>
                </c:pt>
                <c:pt idx="31">
                  <c:v>4604.6570033430689</c:v>
                </c:pt>
                <c:pt idx="32">
                  <c:v>5231.900167721109</c:v>
                </c:pt>
                <c:pt idx="33">
                  <c:v>4070.0506703125061</c:v>
                </c:pt>
                <c:pt idx="34">
                  <c:v>4674.2526314328879</c:v>
                </c:pt>
                <c:pt idx="35">
                  <c:v>4517.2322896794913</c:v>
                </c:pt>
                <c:pt idx="36">
                  <c:v>3453.3884730041646</c:v>
                </c:pt>
                <c:pt idx="37">
                  <c:v>3317.4814205806006</c:v>
                </c:pt>
                <c:pt idx="38">
                  <c:v>4210.2128809976166</c:v>
                </c:pt>
                <c:pt idx="39">
                  <c:v>4428.5518644038393</c:v>
                </c:pt>
                <c:pt idx="40">
                  <c:v>5005.49970395542</c:v>
                </c:pt>
                <c:pt idx="41">
                  <c:v>4912.840845587034</c:v>
                </c:pt>
                <c:pt idx="42">
                  <c:v>4691.8480663751179</c:v>
                </c:pt>
                <c:pt idx="43">
                  <c:v>2988.175354054104</c:v>
                </c:pt>
                <c:pt idx="44">
                  <c:v>3915.2125555115363</c:v>
                </c:pt>
                <c:pt idx="45">
                  <c:v>3961.6246221485553</c:v>
                </c:pt>
                <c:pt idx="46">
                  <c:v>3740.8583102971825</c:v>
                </c:pt>
                <c:pt idx="47">
                  <c:v>4652.0704350803926</c:v>
                </c:pt>
                <c:pt idx="48">
                  <c:v>3511.300646016763</c:v>
                </c:pt>
                <c:pt idx="49">
                  <c:v>3384.9690006175074</c:v>
                </c:pt>
                <c:pt idx="50">
                  <c:v>2654.0342543205088</c:v>
                </c:pt>
                <c:pt idx="51">
                  <c:v>2513.4885239787309</c:v>
                </c:pt>
              </c:numCache>
            </c:numRef>
          </c:val>
          <c:smooth val="0"/>
        </c:ser>
        <c:ser>
          <c:idx val="2"/>
          <c:order val="2"/>
          <c:tx>
            <c:v>Mean</c:v>
          </c:tx>
          <c:spPr>
            <a:ln w="38100" cap="rnd">
              <a:solidFill>
                <a:srgbClr val="92D050"/>
              </a:solidFill>
              <a:round/>
            </a:ln>
            <a:effectLst/>
          </c:spPr>
          <c:marker>
            <c:symbol val="none"/>
          </c:marker>
          <c:val>
            <c:numRef>
              <c:f>Data!$G$2:$G$53</c:f>
              <c:numCache>
                <c:formatCode>0.00</c:formatCode>
                <c:ptCount val="52"/>
                <c:pt idx="0">
                  <c:v>1719.8</c:v>
                </c:pt>
                <c:pt idx="1">
                  <c:v>2063.4</c:v>
                </c:pt>
                <c:pt idx="2">
                  <c:v>2274.1999999999998</c:v>
                </c:pt>
                <c:pt idx="3">
                  <c:v>1880.8</c:v>
                </c:pt>
                <c:pt idx="4">
                  <c:v>2103.4</c:v>
                </c:pt>
                <c:pt idx="5">
                  <c:v>2106.6</c:v>
                </c:pt>
                <c:pt idx="6">
                  <c:v>2287.6</c:v>
                </c:pt>
                <c:pt idx="7">
                  <c:v>2081.4</c:v>
                </c:pt>
                <c:pt idx="8">
                  <c:v>1722.4</c:v>
                </c:pt>
                <c:pt idx="9">
                  <c:v>1862.2</c:v>
                </c:pt>
                <c:pt idx="10">
                  <c:v>2000.2</c:v>
                </c:pt>
                <c:pt idx="11">
                  <c:v>2010.4</c:v>
                </c:pt>
                <c:pt idx="12">
                  <c:v>2307.1999999999998</c:v>
                </c:pt>
                <c:pt idx="13">
                  <c:v>1793</c:v>
                </c:pt>
                <c:pt idx="14">
                  <c:v>2332.8000000000002</c:v>
                </c:pt>
                <c:pt idx="15">
                  <c:v>2371.4</c:v>
                </c:pt>
                <c:pt idx="16">
                  <c:v>2676.6</c:v>
                </c:pt>
                <c:pt idx="17">
                  <c:v>2611.4</c:v>
                </c:pt>
                <c:pt idx="18">
                  <c:v>2240</c:v>
                </c:pt>
                <c:pt idx="19">
                  <c:v>2658.2</c:v>
                </c:pt>
                <c:pt idx="20">
                  <c:v>2484.1999999999998</c:v>
                </c:pt>
                <c:pt idx="21">
                  <c:v>2886.4</c:v>
                </c:pt>
                <c:pt idx="22">
                  <c:v>2840.8</c:v>
                </c:pt>
                <c:pt idx="23">
                  <c:v>3377</c:v>
                </c:pt>
                <c:pt idx="24">
                  <c:v>2948</c:v>
                </c:pt>
                <c:pt idx="25">
                  <c:v>3278</c:v>
                </c:pt>
                <c:pt idx="26">
                  <c:v>2782</c:v>
                </c:pt>
                <c:pt idx="27">
                  <c:v>2451.1999999999998</c:v>
                </c:pt>
                <c:pt idx="28">
                  <c:v>2298.6</c:v>
                </c:pt>
                <c:pt idx="29">
                  <c:v>2419.4</c:v>
                </c:pt>
                <c:pt idx="30">
                  <c:v>2209.8000000000002</c:v>
                </c:pt>
                <c:pt idx="31">
                  <c:v>2278.8000000000002</c:v>
                </c:pt>
                <c:pt idx="32">
                  <c:v>2876.8</c:v>
                </c:pt>
                <c:pt idx="33">
                  <c:v>2520.4</c:v>
                </c:pt>
                <c:pt idx="34">
                  <c:v>2398.4</c:v>
                </c:pt>
                <c:pt idx="35">
                  <c:v>2472.6</c:v>
                </c:pt>
                <c:pt idx="36">
                  <c:v>2117.4</c:v>
                </c:pt>
                <c:pt idx="37">
                  <c:v>1937.2</c:v>
                </c:pt>
                <c:pt idx="38">
                  <c:v>2465</c:v>
                </c:pt>
                <c:pt idx="39">
                  <c:v>2396.4</c:v>
                </c:pt>
                <c:pt idx="40">
                  <c:v>2151.1999999999998</c:v>
                </c:pt>
                <c:pt idx="41">
                  <c:v>2165.4</c:v>
                </c:pt>
                <c:pt idx="42">
                  <c:v>2467.4</c:v>
                </c:pt>
                <c:pt idx="43">
                  <c:v>1548.6</c:v>
                </c:pt>
                <c:pt idx="44">
                  <c:v>1619.8</c:v>
                </c:pt>
                <c:pt idx="45">
                  <c:v>1777.4</c:v>
                </c:pt>
                <c:pt idx="46">
                  <c:v>2220</c:v>
                </c:pt>
                <c:pt idx="47">
                  <c:v>2469.6</c:v>
                </c:pt>
                <c:pt idx="48">
                  <c:v>2342.6</c:v>
                </c:pt>
                <c:pt idx="49">
                  <c:v>2219.8000000000002</c:v>
                </c:pt>
                <c:pt idx="50">
                  <c:v>1597.8</c:v>
                </c:pt>
                <c:pt idx="51">
                  <c:v>1467.4</c:v>
                </c:pt>
              </c:numCache>
            </c:numRef>
          </c:val>
          <c:smooth val="0"/>
        </c:ser>
        <c:dLbls>
          <c:showLegendKey val="0"/>
          <c:showVal val="0"/>
          <c:showCatName val="0"/>
          <c:showSerName val="0"/>
          <c:showPercent val="0"/>
          <c:showBubbleSize val="0"/>
        </c:dLbls>
        <c:smooth val="0"/>
        <c:axId val="921916352"/>
        <c:axId val="921917136"/>
      </c:lineChart>
      <c:catAx>
        <c:axId val="92191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917136"/>
        <c:crosses val="autoZero"/>
        <c:auto val="1"/>
        <c:lblAlgn val="ctr"/>
        <c:lblOffset val="100"/>
        <c:noMultiLvlLbl val="0"/>
      </c:catAx>
      <c:valAx>
        <c:axId val="92191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91635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TB treatment outcomes FY 2019/20</a:t>
            </a:r>
          </a:p>
        </c:rich>
      </c:tx>
      <c:overlay val="0"/>
      <c:spPr>
        <a:noFill/>
        <a:ln>
          <a:noFill/>
        </a:ln>
        <a:effectLst/>
      </c:spPr>
    </c:title>
    <c:autoTitleDeleted val="0"/>
    <c:plotArea>
      <c:layout/>
      <c:barChart>
        <c:barDir val="col"/>
        <c:grouping val="clustered"/>
        <c:varyColors val="0"/>
        <c:ser>
          <c:idx val="0"/>
          <c:order val="0"/>
          <c:tx>
            <c:strRef>
              <c:f>'Sheet 1'!$L$32</c:f>
              <c:strCache>
                <c:ptCount val="1"/>
                <c:pt idx="0">
                  <c:v>TB treatment outcomes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1'!$M$31:$Q$31</c:f>
              <c:strCache>
                <c:ptCount val="5"/>
                <c:pt idx="0">
                  <c:v>Completed</c:v>
                </c:pt>
                <c:pt idx="1">
                  <c:v>Cured</c:v>
                </c:pt>
                <c:pt idx="2">
                  <c:v>Lost to follow up</c:v>
                </c:pt>
                <c:pt idx="3">
                  <c:v>Failures</c:v>
                </c:pt>
                <c:pt idx="4">
                  <c:v>Died</c:v>
                </c:pt>
              </c:strCache>
            </c:strRef>
          </c:cat>
          <c:val>
            <c:numRef>
              <c:f>'Sheet 1'!$M$32:$Q$32</c:f>
              <c:numCache>
                <c:formatCode>0%</c:formatCode>
                <c:ptCount val="5"/>
                <c:pt idx="0">
                  <c:v>0.64</c:v>
                </c:pt>
                <c:pt idx="1">
                  <c:v>0.28000000000000003</c:v>
                </c:pt>
                <c:pt idx="2">
                  <c:v>0.1</c:v>
                </c:pt>
                <c:pt idx="3">
                  <c:v>0</c:v>
                </c:pt>
                <c:pt idx="4">
                  <c:v>0.08</c:v>
                </c:pt>
              </c:numCache>
            </c:numRef>
          </c:val>
        </c:ser>
        <c:dLbls>
          <c:showLegendKey val="0"/>
          <c:showVal val="1"/>
          <c:showCatName val="0"/>
          <c:showSerName val="0"/>
          <c:showPercent val="0"/>
          <c:showBubbleSize val="0"/>
        </c:dLbls>
        <c:gapWidth val="219"/>
        <c:overlap val="-27"/>
        <c:axId val="921927720"/>
        <c:axId val="921928112"/>
      </c:barChart>
      <c:catAx>
        <c:axId val="92192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21928112"/>
        <c:crosses val="autoZero"/>
        <c:auto val="1"/>
        <c:lblAlgn val="ctr"/>
        <c:lblOffset val="100"/>
        <c:noMultiLvlLbl val="0"/>
      </c:catAx>
      <c:valAx>
        <c:axId val="921928112"/>
        <c:scaling>
          <c:orientation val="minMax"/>
          <c:max val="1"/>
        </c:scaling>
        <c:delete val="1"/>
        <c:axPos val="l"/>
        <c:numFmt formatCode="0%" sourceLinked="1"/>
        <c:majorTickMark val="none"/>
        <c:minorTickMark val="none"/>
        <c:tickLblPos val="nextTo"/>
        <c:crossAx val="921927720"/>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TB Treatment Success Rate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 1'!$BW$1</c:f>
              <c:strCache>
                <c:ptCount val="1"/>
                <c:pt idx="0">
                  <c:v>Registered patients</c:v>
                </c:pt>
              </c:strCache>
            </c:strRef>
          </c:tx>
          <c:spPr>
            <a:solidFill>
              <a:schemeClr val="accent1"/>
            </a:solidFill>
            <a:ln>
              <a:noFill/>
            </a:ln>
            <a:effectLst/>
          </c:spPr>
          <c:invertIfNegative val="0"/>
          <c:cat>
            <c:strRef>
              <c:f>'Sheet 1'!$B$2:$BV$26</c:f>
              <c:strCache>
                <c:ptCount val="25"/>
                <c:pt idx="0">
                  <c:v>Kakaire HC III</c:v>
                </c:pt>
                <c:pt idx="1">
                  <c:v>Wakitaka HC III</c:v>
                </c:pt>
                <c:pt idx="2">
                  <c:v>Lukolo HC III</c:v>
                </c:pt>
                <c:pt idx="3">
                  <c:v>Buwenge General Hospital</c:v>
                </c:pt>
                <c:pt idx="4">
                  <c:v>TASO Jinja Special Clinic</c:v>
                </c:pt>
                <c:pt idx="5">
                  <c:v>Butagaya HC III</c:v>
                </c:pt>
                <c:pt idx="6">
                  <c:v>Jinja Regional Referral Hospital</c:v>
                </c:pt>
                <c:pt idx="7">
                  <c:v>Kakira Sugar Workers Hospital</c:v>
                </c:pt>
                <c:pt idx="8">
                  <c:v>Gaddafi Barracks HC III</c:v>
                </c:pt>
                <c:pt idx="9">
                  <c:v>Walukuba HC IV</c:v>
                </c:pt>
                <c:pt idx="10">
                  <c:v>Soft Power Clinic</c:v>
                </c:pt>
                <c:pt idx="11">
                  <c:v>Mpumudde HC IV</c:v>
                </c:pt>
                <c:pt idx="12">
                  <c:v>Budondo HC IV</c:v>
                </c:pt>
                <c:pt idx="13">
                  <c:v>Jinja Main Prison HC III</c:v>
                </c:pt>
                <c:pt idx="14">
                  <c:v>Bugembe HC IV</c:v>
                </c:pt>
                <c:pt idx="15">
                  <c:v>Busedde HC III</c:v>
                </c:pt>
                <c:pt idx="16">
                  <c:v>Family Hope Center Jinja Special Clinic</c:v>
                </c:pt>
                <c:pt idx="17">
                  <c:v>Buwenge Ngo Hospital</c:v>
                </c:pt>
                <c:pt idx="18">
                  <c:v>Muwumba HC III</c:v>
                </c:pt>
                <c:pt idx="19">
                  <c:v>St. Benedict's HC III</c:v>
                </c:pt>
                <c:pt idx="20">
                  <c:v>Kakira HC III</c:v>
                </c:pt>
                <c:pt idx="21">
                  <c:v>Buwenge HC IV</c:v>
                </c:pt>
                <c:pt idx="22">
                  <c:v>Jinja Central HC III</c:v>
                </c:pt>
                <c:pt idx="23">
                  <c:v>AIDS Information Centre (Jinja) Special Clinic</c:v>
                </c:pt>
                <c:pt idx="24">
                  <c:v>Aoet HC II</c:v>
                </c:pt>
              </c:strCache>
            </c:strRef>
          </c:cat>
          <c:val>
            <c:numRef>
              <c:f>'Sheet 1'!$BW$2:$BW$26</c:f>
            </c:numRef>
          </c:val>
        </c:ser>
        <c:ser>
          <c:idx val="1"/>
          <c:order val="1"/>
          <c:tx>
            <c:strRef>
              <c:f>'Sheet 1'!$BX$1</c:f>
              <c:strCache>
                <c:ptCount val="1"/>
                <c:pt idx="0">
                  <c:v>Completed treatment</c:v>
                </c:pt>
              </c:strCache>
            </c:strRef>
          </c:tx>
          <c:spPr>
            <a:solidFill>
              <a:schemeClr val="accent2"/>
            </a:solidFill>
            <a:ln>
              <a:noFill/>
            </a:ln>
            <a:effectLst/>
          </c:spPr>
          <c:invertIfNegative val="0"/>
          <c:cat>
            <c:strRef>
              <c:f>'Sheet 1'!$B$2:$BV$26</c:f>
              <c:strCache>
                <c:ptCount val="25"/>
                <c:pt idx="0">
                  <c:v>Kakaire HC III</c:v>
                </c:pt>
                <c:pt idx="1">
                  <c:v>Wakitaka HC III</c:v>
                </c:pt>
                <c:pt idx="2">
                  <c:v>Lukolo HC III</c:v>
                </c:pt>
                <c:pt idx="3">
                  <c:v>Buwenge General Hospital</c:v>
                </c:pt>
                <c:pt idx="4">
                  <c:v>TASO Jinja Special Clinic</c:v>
                </c:pt>
                <c:pt idx="5">
                  <c:v>Butagaya HC III</c:v>
                </c:pt>
                <c:pt idx="6">
                  <c:v>Jinja Regional Referral Hospital</c:v>
                </c:pt>
                <c:pt idx="7">
                  <c:v>Kakira Sugar Workers Hospital</c:v>
                </c:pt>
                <c:pt idx="8">
                  <c:v>Gaddafi Barracks HC III</c:v>
                </c:pt>
                <c:pt idx="9">
                  <c:v>Walukuba HC IV</c:v>
                </c:pt>
                <c:pt idx="10">
                  <c:v>Soft Power Clinic</c:v>
                </c:pt>
                <c:pt idx="11">
                  <c:v>Mpumudde HC IV</c:v>
                </c:pt>
                <c:pt idx="12">
                  <c:v>Budondo HC IV</c:v>
                </c:pt>
                <c:pt idx="13">
                  <c:v>Jinja Main Prison HC III</c:v>
                </c:pt>
                <c:pt idx="14">
                  <c:v>Bugembe HC IV</c:v>
                </c:pt>
                <c:pt idx="15">
                  <c:v>Busedde HC III</c:v>
                </c:pt>
                <c:pt idx="16">
                  <c:v>Family Hope Center Jinja Special Clinic</c:v>
                </c:pt>
                <c:pt idx="17">
                  <c:v>Buwenge Ngo Hospital</c:v>
                </c:pt>
                <c:pt idx="18">
                  <c:v>Muwumba HC III</c:v>
                </c:pt>
                <c:pt idx="19">
                  <c:v>St. Benedict's HC III</c:v>
                </c:pt>
                <c:pt idx="20">
                  <c:v>Kakira HC III</c:v>
                </c:pt>
                <c:pt idx="21">
                  <c:v>Buwenge HC IV</c:v>
                </c:pt>
                <c:pt idx="22">
                  <c:v>Jinja Central HC III</c:v>
                </c:pt>
                <c:pt idx="23">
                  <c:v>AIDS Information Centre (Jinja) Special Clinic</c:v>
                </c:pt>
                <c:pt idx="24">
                  <c:v>Aoet HC II</c:v>
                </c:pt>
              </c:strCache>
            </c:strRef>
          </c:cat>
          <c:val>
            <c:numRef>
              <c:f>'Sheet 1'!$BX$2:$BX$26</c:f>
            </c:numRef>
          </c:val>
        </c:ser>
        <c:ser>
          <c:idx val="2"/>
          <c:order val="2"/>
          <c:tx>
            <c:strRef>
              <c:f>'Sheet 1'!$BY$1</c:f>
              <c:strCache>
                <c:ptCount val="1"/>
                <c:pt idx="0">
                  <c:v>TSR</c:v>
                </c:pt>
              </c:strCache>
            </c:strRef>
          </c:tx>
          <c:spPr>
            <a:solidFill>
              <a:schemeClr val="accent3"/>
            </a:solidFill>
            <a:ln>
              <a:noFill/>
            </a:ln>
            <a:effectLst/>
          </c:spPr>
          <c:invertIfNegative val="0"/>
          <c:cat>
            <c:strRef>
              <c:f>'Sheet 1'!$B$2:$BV$26</c:f>
              <c:strCache>
                <c:ptCount val="25"/>
                <c:pt idx="0">
                  <c:v>Kakaire HC III</c:v>
                </c:pt>
                <c:pt idx="1">
                  <c:v>Wakitaka HC III</c:v>
                </c:pt>
                <c:pt idx="2">
                  <c:v>Lukolo HC III</c:v>
                </c:pt>
                <c:pt idx="3">
                  <c:v>Buwenge General Hospital</c:v>
                </c:pt>
                <c:pt idx="4">
                  <c:v>TASO Jinja Special Clinic</c:v>
                </c:pt>
                <c:pt idx="5">
                  <c:v>Butagaya HC III</c:v>
                </c:pt>
                <c:pt idx="6">
                  <c:v>Jinja Regional Referral Hospital</c:v>
                </c:pt>
                <c:pt idx="7">
                  <c:v>Kakira Sugar Workers Hospital</c:v>
                </c:pt>
                <c:pt idx="8">
                  <c:v>Gaddafi Barracks HC III</c:v>
                </c:pt>
                <c:pt idx="9">
                  <c:v>Walukuba HC IV</c:v>
                </c:pt>
                <c:pt idx="10">
                  <c:v>Soft Power Clinic</c:v>
                </c:pt>
                <c:pt idx="11">
                  <c:v>Mpumudde HC IV</c:v>
                </c:pt>
                <c:pt idx="12">
                  <c:v>Budondo HC IV</c:v>
                </c:pt>
                <c:pt idx="13">
                  <c:v>Jinja Main Prison HC III</c:v>
                </c:pt>
                <c:pt idx="14">
                  <c:v>Bugembe HC IV</c:v>
                </c:pt>
                <c:pt idx="15">
                  <c:v>Busedde HC III</c:v>
                </c:pt>
                <c:pt idx="16">
                  <c:v>Family Hope Center Jinja Special Clinic</c:v>
                </c:pt>
                <c:pt idx="17">
                  <c:v>Buwenge Ngo Hospital</c:v>
                </c:pt>
                <c:pt idx="18">
                  <c:v>Muwumba HC III</c:v>
                </c:pt>
                <c:pt idx="19">
                  <c:v>St. Benedict's HC III</c:v>
                </c:pt>
                <c:pt idx="20">
                  <c:v>Kakira HC III</c:v>
                </c:pt>
                <c:pt idx="21">
                  <c:v>Buwenge HC IV</c:v>
                </c:pt>
                <c:pt idx="22">
                  <c:v>Jinja Central HC III</c:v>
                </c:pt>
                <c:pt idx="23">
                  <c:v>AIDS Information Centre (Jinja) Special Clinic</c:v>
                </c:pt>
                <c:pt idx="24">
                  <c:v>Aoet HC II</c:v>
                </c:pt>
              </c:strCache>
            </c:strRef>
          </c:cat>
          <c:val>
            <c:numRef>
              <c:f>'Sheet 1'!$BY$2:$BY$26</c:f>
            </c:numRef>
          </c:val>
        </c:ser>
        <c:ser>
          <c:idx val="3"/>
          <c:order val="3"/>
          <c:tx>
            <c:strRef>
              <c:f>'Sheet 1'!$BZ$1</c:f>
              <c:strCache>
                <c:ptCount val="1"/>
                <c:pt idx="0">
                  <c:v>TSR</c:v>
                </c:pt>
              </c:strCache>
            </c:strRef>
          </c:tx>
          <c:spPr>
            <a:solidFill>
              <a:schemeClr val="accent4"/>
            </a:solidFill>
            <a:ln>
              <a:noFill/>
            </a:ln>
            <a:effectLst/>
          </c:spPr>
          <c:invertIfNegative val="0"/>
          <c:cat>
            <c:strRef>
              <c:f>'Sheet 1'!$B$2:$BV$26</c:f>
              <c:strCache>
                <c:ptCount val="25"/>
                <c:pt idx="0">
                  <c:v>Kakaire HC III</c:v>
                </c:pt>
                <c:pt idx="1">
                  <c:v>Wakitaka HC III</c:v>
                </c:pt>
                <c:pt idx="2">
                  <c:v>Lukolo HC III</c:v>
                </c:pt>
                <c:pt idx="3">
                  <c:v>Buwenge General Hospital</c:v>
                </c:pt>
                <c:pt idx="4">
                  <c:v>TASO Jinja Special Clinic</c:v>
                </c:pt>
                <c:pt idx="5">
                  <c:v>Butagaya HC III</c:v>
                </c:pt>
                <c:pt idx="6">
                  <c:v>Jinja Regional Referral Hospital</c:v>
                </c:pt>
                <c:pt idx="7">
                  <c:v>Kakira Sugar Workers Hospital</c:v>
                </c:pt>
                <c:pt idx="8">
                  <c:v>Gaddafi Barracks HC III</c:v>
                </c:pt>
                <c:pt idx="9">
                  <c:v>Walukuba HC IV</c:v>
                </c:pt>
                <c:pt idx="10">
                  <c:v>Soft Power Clinic</c:v>
                </c:pt>
                <c:pt idx="11">
                  <c:v>Mpumudde HC IV</c:v>
                </c:pt>
                <c:pt idx="12">
                  <c:v>Budondo HC IV</c:v>
                </c:pt>
                <c:pt idx="13">
                  <c:v>Jinja Main Prison HC III</c:v>
                </c:pt>
                <c:pt idx="14">
                  <c:v>Bugembe HC IV</c:v>
                </c:pt>
                <c:pt idx="15">
                  <c:v>Busedde HC III</c:v>
                </c:pt>
                <c:pt idx="16">
                  <c:v>Family Hope Center Jinja Special Clinic</c:v>
                </c:pt>
                <c:pt idx="17">
                  <c:v>Buwenge Ngo Hospital</c:v>
                </c:pt>
                <c:pt idx="18">
                  <c:v>Muwumba HC III</c:v>
                </c:pt>
                <c:pt idx="19">
                  <c:v>St. Benedict's HC III</c:v>
                </c:pt>
                <c:pt idx="20">
                  <c:v>Kakira HC III</c:v>
                </c:pt>
                <c:pt idx="21">
                  <c:v>Buwenge HC IV</c:v>
                </c:pt>
                <c:pt idx="22">
                  <c:v>Jinja Central HC III</c:v>
                </c:pt>
                <c:pt idx="23">
                  <c:v>AIDS Information Centre (Jinja) Special Clinic</c:v>
                </c:pt>
                <c:pt idx="24">
                  <c:v>Aoet HC II</c:v>
                </c:pt>
              </c:strCache>
            </c:strRef>
          </c:cat>
          <c:val>
            <c:numRef>
              <c:f>'Sheet 1'!$BZ$2:$BZ$26</c:f>
            </c:numRef>
          </c:val>
        </c:ser>
        <c:ser>
          <c:idx val="4"/>
          <c:order val="4"/>
          <c:tx>
            <c:strRef>
              <c:f>'Sheet 1'!$CA$1</c:f>
              <c:strCache>
                <c:ptCount val="1"/>
                <c:pt idx="0">
                  <c:v>TB TSR</c:v>
                </c:pt>
              </c:strCache>
            </c:strRef>
          </c:tx>
          <c:spPr>
            <a:solidFill>
              <a:schemeClr val="accent5"/>
            </a:solidFill>
            <a:ln>
              <a:noFill/>
            </a:ln>
            <a:effectLst/>
          </c:spPr>
          <c:invertIfNegative val="0"/>
          <c:cat>
            <c:strRef>
              <c:f>'Sheet 1'!$B$2:$BV$26</c:f>
              <c:strCache>
                <c:ptCount val="25"/>
                <c:pt idx="0">
                  <c:v>Kakaire HC III</c:v>
                </c:pt>
                <c:pt idx="1">
                  <c:v>Wakitaka HC III</c:v>
                </c:pt>
                <c:pt idx="2">
                  <c:v>Lukolo HC III</c:v>
                </c:pt>
                <c:pt idx="3">
                  <c:v>Buwenge General Hospital</c:v>
                </c:pt>
                <c:pt idx="4">
                  <c:v>TASO Jinja Special Clinic</c:v>
                </c:pt>
                <c:pt idx="5">
                  <c:v>Butagaya HC III</c:v>
                </c:pt>
                <c:pt idx="6">
                  <c:v>Jinja Regional Referral Hospital</c:v>
                </c:pt>
                <c:pt idx="7">
                  <c:v>Kakira Sugar Workers Hospital</c:v>
                </c:pt>
                <c:pt idx="8">
                  <c:v>Gaddafi Barracks HC III</c:v>
                </c:pt>
                <c:pt idx="9">
                  <c:v>Walukuba HC IV</c:v>
                </c:pt>
                <c:pt idx="10">
                  <c:v>Soft Power Clinic</c:v>
                </c:pt>
                <c:pt idx="11">
                  <c:v>Mpumudde HC IV</c:v>
                </c:pt>
                <c:pt idx="12">
                  <c:v>Budondo HC IV</c:v>
                </c:pt>
                <c:pt idx="13">
                  <c:v>Jinja Main Prison HC III</c:v>
                </c:pt>
                <c:pt idx="14">
                  <c:v>Bugembe HC IV</c:v>
                </c:pt>
                <c:pt idx="15">
                  <c:v>Busedde HC III</c:v>
                </c:pt>
                <c:pt idx="16">
                  <c:v>Family Hope Center Jinja Special Clinic</c:v>
                </c:pt>
                <c:pt idx="17">
                  <c:v>Buwenge Ngo Hospital</c:v>
                </c:pt>
                <c:pt idx="18">
                  <c:v>Muwumba HC III</c:v>
                </c:pt>
                <c:pt idx="19">
                  <c:v>St. Benedict's HC III</c:v>
                </c:pt>
                <c:pt idx="20">
                  <c:v>Kakira HC III</c:v>
                </c:pt>
                <c:pt idx="21">
                  <c:v>Buwenge HC IV</c:v>
                </c:pt>
                <c:pt idx="22">
                  <c:v>Jinja Central HC III</c:v>
                </c:pt>
                <c:pt idx="23">
                  <c:v>AIDS Information Centre (Jinja) Special Clinic</c:v>
                </c:pt>
                <c:pt idx="24">
                  <c:v>Aoet HC II</c:v>
                </c:pt>
              </c:strCache>
            </c:strRef>
          </c:cat>
          <c:val>
            <c:numRef>
              <c:f>'Sheet 1'!$CA$2:$CA$26</c:f>
              <c:numCache>
                <c:formatCode>0%</c:formatCode>
                <c:ptCount val="25"/>
                <c:pt idx="0">
                  <c:v>1</c:v>
                </c:pt>
                <c:pt idx="1">
                  <c:v>1</c:v>
                </c:pt>
                <c:pt idx="2">
                  <c:v>0.83333333333333326</c:v>
                </c:pt>
                <c:pt idx="3">
                  <c:v>0.82857142857142851</c:v>
                </c:pt>
                <c:pt idx="4">
                  <c:v>0.78985107556536127</c:v>
                </c:pt>
                <c:pt idx="5">
                  <c:v>0.75</c:v>
                </c:pt>
                <c:pt idx="6">
                  <c:v>0.68853073463268366</c:v>
                </c:pt>
                <c:pt idx="7">
                  <c:v>0.63571428571428568</c:v>
                </c:pt>
                <c:pt idx="8">
                  <c:v>0.59523809523809523</c:v>
                </c:pt>
                <c:pt idx="9">
                  <c:v>0.59477124183006536</c:v>
                </c:pt>
                <c:pt idx="10">
                  <c:v>0.58947368421052637</c:v>
                </c:pt>
                <c:pt idx="11">
                  <c:v>0.56315789473684208</c:v>
                </c:pt>
                <c:pt idx="12">
                  <c:v>0.56055900621118016</c:v>
                </c:pt>
                <c:pt idx="13">
                  <c:v>0.55952380952380953</c:v>
                </c:pt>
                <c:pt idx="14">
                  <c:v>0.52192982456140347</c:v>
                </c:pt>
                <c:pt idx="15">
                  <c:v>0.5</c:v>
                </c:pt>
                <c:pt idx="16">
                  <c:v>0.48717948717948723</c:v>
                </c:pt>
                <c:pt idx="17">
                  <c:v>0.375</c:v>
                </c:pt>
                <c:pt idx="18">
                  <c:v>0.35</c:v>
                </c:pt>
                <c:pt idx="19">
                  <c:v>0.34722222222222221</c:v>
                </c:pt>
                <c:pt idx="20">
                  <c:v>0.33333333333333331</c:v>
                </c:pt>
                <c:pt idx="21">
                  <c:v>0.26190476190476186</c:v>
                </c:pt>
                <c:pt idx="22">
                  <c:v>0.14285714285714285</c:v>
                </c:pt>
                <c:pt idx="23">
                  <c:v>0</c:v>
                </c:pt>
                <c:pt idx="24">
                  <c:v>0</c:v>
                </c:pt>
              </c:numCache>
            </c:numRef>
          </c:val>
        </c:ser>
        <c:dLbls>
          <c:showLegendKey val="0"/>
          <c:showVal val="0"/>
          <c:showCatName val="0"/>
          <c:showSerName val="0"/>
          <c:showPercent val="0"/>
          <c:showBubbleSize val="0"/>
        </c:dLbls>
        <c:gapWidth val="219"/>
        <c:overlap val="-27"/>
        <c:axId val="921928896"/>
        <c:axId val="300601688"/>
      </c:barChart>
      <c:catAx>
        <c:axId val="92192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601688"/>
        <c:crosses val="autoZero"/>
        <c:auto val="1"/>
        <c:lblAlgn val="ctr"/>
        <c:lblOffset val="100"/>
        <c:noMultiLvlLbl val="0"/>
      </c:catAx>
      <c:valAx>
        <c:axId val="3006016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92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0AFDE-B1FA-4C56-A290-A0FF728D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1159</TotalTime>
  <Pages>6</Pages>
  <Words>1792</Words>
  <Characters>10218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SHEILA KIMMULA</cp:lastModifiedBy>
  <cp:revision>60</cp:revision>
  <dcterms:created xsi:type="dcterms:W3CDTF">2020-08-14T19:37:00Z</dcterms:created>
  <dcterms:modified xsi:type="dcterms:W3CDTF">2020-10-12T09:58:00Z</dcterms:modified>
</cp:coreProperties>
</file>